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AC3" w:rsidRDefault="00F85063">
      <w:pPr>
        <w:widowControl/>
        <w:adjustRightInd w:val="0"/>
        <w:snapToGrid w:val="0"/>
        <w:spacing w:line="560" w:lineRule="exact"/>
        <w:rPr>
          <w:rFonts w:ascii="黑体" w:eastAsia="黑体" w:hAnsi="宋体" w:cs="宋体"/>
          <w:kern w:val="0"/>
          <w:sz w:val="44"/>
          <w:szCs w:val="44"/>
        </w:rPr>
      </w:pPr>
      <w:r>
        <w:rPr>
          <w:rFonts w:ascii="仿宋_GB2312" w:eastAsia="仿宋_GB2312" w:hAnsi="??" w:cs="Times New Roman"/>
          <w:b/>
          <w:bCs/>
          <w:noProof/>
          <w:color w:val="000000"/>
          <w:sz w:val="44"/>
          <w:szCs w:val="44"/>
        </w:rPr>
        <w:drawing>
          <wp:anchor distT="0" distB="0" distL="114300" distR="114300" simplePos="0" relativeHeight="251673600" behindDoc="1" locked="0" layoutInCell="1" allowOverlap="1">
            <wp:simplePos x="0" y="0"/>
            <wp:positionH relativeFrom="column">
              <wp:posOffset>1846083</wp:posOffset>
            </wp:positionH>
            <wp:positionV relativeFrom="paragraph">
              <wp:posOffset>80479</wp:posOffset>
            </wp:positionV>
            <wp:extent cx="1836420" cy="1791335"/>
            <wp:effectExtent l="0" t="0" r="0" b="0"/>
            <wp:wrapTight wrapText="bothSides">
              <wp:wrapPolygon edited="0">
                <wp:start x="0" y="0"/>
                <wp:lineTo x="0" y="21363"/>
                <wp:lineTo x="21286" y="21363"/>
                <wp:lineTo x="2128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最新学校图标.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6420" cy="1791335"/>
                    </a:xfrm>
                    <a:prstGeom prst="rect">
                      <a:avLst/>
                    </a:prstGeom>
                  </pic:spPr>
                </pic:pic>
              </a:graphicData>
            </a:graphic>
          </wp:anchor>
        </w:drawing>
      </w:r>
    </w:p>
    <w:p w:rsidR="009A0AC3" w:rsidRDefault="009A0AC3">
      <w:pPr>
        <w:spacing w:line="640" w:lineRule="exact"/>
        <w:rPr>
          <w:rFonts w:ascii="仿宋_GB2312" w:eastAsia="仿宋_GB2312" w:hAnsi="??" w:cs="Times New Roman"/>
          <w:b/>
          <w:bCs/>
          <w:color w:val="000000"/>
          <w:sz w:val="44"/>
          <w:szCs w:val="44"/>
        </w:rPr>
      </w:pPr>
    </w:p>
    <w:p w:rsidR="009A0AC3" w:rsidRDefault="009A0AC3">
      <w:pPr>
        <w:spacing w:line="640" w:lineRule="exact"/>
        <w:rPr>
          <w:rFonts w:ascii="仿宋_GB2312" w:eastAsia="仿宋_GB2312" w:hAnsi="??" w:cs="Times New Roman"/>
          <w:b/>
          <w:bCs/>
          <w:color w:val="000000"/>
          <w:sz w:val="44"/>
          <w:szCs w:val="44"/>
        </w:rPr>
      </w:pPr>
    </w:p>
    <w:p w:rsidR="009A0AC3" w:rsidRDefault="009A0AC3">
      <w:pPr>
        <w:spacing w:line="640" w:lineRule="exact"/>
        <w:rPr>
          <w:rFonts w:ascii="方正小标宋简体" w:eastAsia="方正小标宋简体" w:hAnsi="eʩ" w:cs="Times New Roman" w:hint="eastAsia"/>
          <w:bCs/>
          <w:sz w:val="62"/>
          <w:szCs w:val="44"/>
        </w:rPr>
      </w:pPr>
    </w:p>
    <w:p w:rsidR="009A0AC3" w:rsidRDefault="009A0AC3">
      <w:pPr>
        <w:spacing w:line="640" w:lineRule="exact"/>
        <w:rPr>
          <w:rFonts w:ascii="方正小标宋简体" w:eastAsia="方正小标宋简体" w:hAnsi="eʩ" w:cs="Times New Roman" w:hint="eastAsia"/>
          <w:bCs/>
          <w:sz w:val="62"/>
          <w:szCs w:val="44"/>
        </w:rPr>
      </w:pPr>
    </w:p>
    <w:p w:rsidR="009A0AC3" w:rsidRDefault="009A0AC3">
      <w:pPr>
        <w:spacing w:line="640" w:lineRule="exact"/>
        <w:rPr>
          <w:rFonts w:ascii="方正小标宋简体" w:eastAsia="方正小标宋简体" w:hAnsi="eʩ" w:cs="Times New Roman" w:hint="eastAsia"/>
          <w:bCs/>
          <w:sz w:val="62"/>
          <w:szCs w:val="44"/>
        </w:rPr>
      </w:pPr>
    </w:p>
    <w:p w:rsidR="009A0AC3" w:rsidRDefault="009A0AC3">
      <w:pPr>
        <w:spacing w:line="640" w:lineRule="exact"/>
        <w:rPr>
          <w:rFonts w:ascii="方正小标宋简体" w:eastAsia="方正小标宋简体" w:hAnsi="eʩ" w:cs="Times New Roman" w:hint="eastAsia"/>
          <w:bCs/>
          <w:sz w:val="62"/>
          <w:szCs w:val="44"/>
        </w:rPr>
      </w:pPr>
    </w:p>
    <w:p w:rsidR="009A0AC3" w:rsidRPr="000A6425" w:rsidRDefault="004F2BBB">
      <w:pPr>
        <w:spacing w:line="640" w:lineRule="exact"/>
        <w:jc w:val="center"/>
        <w:rPr>
          <w:rFonts w:ascii="黑体" w:eastAsia="黑体" w:hAnsi="黑体" w:cs="Times New Roman"/>
          <w:b/>
          <w:bCs/>
          <w:color w:val="000000"/>
          <w:sz w:val="52"/>
          <w:szCs w:val="52"/>
        </w:rPr>
      </w:pPr>
      <w:r w:rsidRPr="000A6425">
        <w:rPr>
          <w:rFonts w:ascii="黑体" w:eastAsia="黑体" w:hAnsi="黑体" w:cs="Times New Roman" w:hint="eastAsia"/>
          <w:bCs/>
          <w:sz w:val="52"/>
          <w:szCs w:val="52"/>
        </w:rPr>
        <w:t>广西</w:t>
      </w:r>
      <w:r w:rsidRPr="000A6425">
        <w:rPr>
          <w:rFonts w:ascii="黑体" w:eastAsia="黑体" w:hAnsi="黑体" w:cs="Times New Roman"/>
          <w:bCs/>
          <w:sz w:val="52"/>
          <w:szCs w:val="52"/>
        </w:rPr>
        <w:t>钦州商贸</w:t>
      </w:r>
      <w:r w:rsidRPr="000A6425">
        <w:rPr>
          <w:rFonts w:ascii="黑体" w:eastAsia="黑体" w:hAnsi="黑体" w:cs="Times New Roman" w:hint="eastAsia"/>
          <w:bCs/>
          <w:sz w:val="52"/>
          <w:szCs w:val="52"/>
        </w:rPr>
        <w:t>学校</w:t>
      </w:r>
    </w:p>
    <w:p w:rsidR="009A0AC3" w:rsidRPr="000A6425" w:rsidRDefault="009A0AC3">
      <w:pPr>
        <w:spacing w:line="640" w:lineRule="exact"/>
        <w:jc w:val="center"/>
        <w:rPr>
          <w:rFonts w:ascii="黑体" w:eastAsia="黑体" w:hAnsi="黑体" w:cs="Times New Roman"/>
          <w:bCs/>
          <w:color w:val="000000"/>
          <w:sz w:val="52"/>
          <w:szCs w:val="52"/>
        </w:rPr>
      </w:pPr>
    </w:p>
    <w:p w:rsidR="009A0AC3" w:rsidRPr="000A6425" w:rsidRDefault="009A0AC3">
      <w:pPr>
        <w:spacing w:line="640" w:lineRule="exact"/>
        <w:jc w:val="center"/>
        <w:rPr>
          <w:rFonts w:ascii="黑体" w:eastAsia="黑体" w:hAnsi="黑体" w:cs="Times New Roman"/>
          <w:bCs/>
          <w:color w:val="000000"/>
          <w:sz w:val="52"/>
          <w:szCs w:val="52"/>
        </w:rPr>
      </w:pPr>
    </w:p>
    <w:p w:rsidR="009A0AC3" w:rsidRPr="000A6425" w:rsidRDefault="004F2BBB">
      <w:pPr>
        <w:spacing w:line="640" w:lineRule="exact"/>
        <w:jc w:val="center"/>
        <w:rPr>
          <w:rFonts w:ascii="黑体" w:eastAsia="黑体" w:hAnsi="黑体" w:cs="Times New Roman"/>
          <w:bCs/>
          <w:sz w:val="52"/>
          <w:szCs w:val="52"/>
        </w:rPr>
      </w:pPr>
      <w:r w:rsidRPr="000A6425">
        <w:rPr>
          <w:rFonts w:ascii="黑体" w:eastAsia="黑体" w:hAnsi="黑体" w:cs="Times New Roman" w:hint="eastAsia"/>
          <w:bCs/>
          <w:sz w:val="52"/>
          <w:szCs w:val="52"/>
        </w:rPr>
        <w:t>2017年度质量报告</w:t>
      </w:r>
    </w:p>
    <w:p w:rsidR="009A0AC3" w:rsidRDefault="009A0AC3">
      <w:pPr>
        <w:spacing w:line="640" w:lineRule="exact"/>
        <w:jc w:val="center"/>
        <w:rPr>
          <w:rFonts w:asciiTheme="majorEastAsia" w:eastAsiaTheme="majorEastAsia" w:hAnsiTheme="majorEastAsia" w:cs="Times New Roman"/>
          <w:bCs/>
          <w:sz w:val="32"/>
          <w:szCs w:val="32"/>
        </w:rPr>
      </w:pPr>
    </w:p>
    <w:p w:rsidR="009A0AC3" w:rsidRDefault="009A0AC3">
      <w:pPr>
        <w:spacing w:line="640" w:lineRule="exact"/>
        <w:jc w:val="center"/>
        <w:rPr>
          <w:rFonts w:ascii="仿宋_GB2312" w:eastAsia="仿宋_GB2312" w:hAnsi="??" w:cs="Times New Roman"/>
          <w:b/>
          <w:bCs/>
          <w:color w:val="000000"/>
          <w:szCs w:val="21"/>
        </w:rPr>
      </w:pPr>
    </w:p>
    <w:p w:rsidR="009A0AC3" w:rsidRDefault="009A0AC3">
      <w:pPr>
        <w:widowControl/>
        <w:adjustRightInd w:val="0"/>
        <w:snapToGrid w:val="0"/>
        <w:spacing w:line="560" w:lineRule="exact"/>
        <w:jc w:val="center"/>
        <w:rPr>
          <w:rFonts w:ascii="Times New Roman" w:eastAsia="宋体" w:hAnsi="宋体" w:cs="宋体"/>
          <w:kern w:val="0"/>
          <w:sz w:val="18"/>
          <w:szCs w:val="18"/>
        </w:rPr>
      </w:pPr>
    </w:p>
    <w:p w:rsidR="009A0AC3" w:rsidRDefault="009A0AC3">
      <w:pPr>
        <w:widowControl/>
        <w:adjustRightInd w:val="0"/>
        <w:snapToGrid w:val="0"/>
        <w:spacing w:line="560" w:lineRule="exact"/>
        <w:jc w:val="center"/>
        <w:rPr>
          <w:rFonts w:ascii="Times New Roman" w:eastAsia="宋体" w:hAnsi="宋体" w:cs="宋体"/>
          <w:kern w:val="0"/>
          <w:sz w:val="18"/>
          <w:szCs w:val="18"/>
        </w:rPr>
      </w:pPr>
    </w:p>
    <w:p w:rsidR="009A0AC3" w:rsidRDefault="009A0AC3">
      <w:pPr>
        <w:widowControl/>
        <w:adjustRightInd w:val="0"/>
        <w:snapToGrid w:val="0"/>
        <w:spacing w:line="560" w:lineRule="exact"/>
        <w:jc w:val="center"/>
        <w:rPr>
          <w:rFonts w:ascii="Times New Roman" w:eastAsia="宋体" w:hAnsi="宋体" w:cs="宋体"/>
          <w:kern w:val="0"/>
          <w:sz w:val="18"/>
          <w:szCs w:val="18"/>
        </w:rPr>
      </w:pPr>
    </w:p>
    <w:p w:rsidR="009A0AC3" w:rsidRDefault="009A0AC3">
      <w:pPr>
        <w:widowControl/>
        <w:adjustRightInd w:val="0"/>
        <w:snapToGrid w:val="0"/>
        <w:spacing w:line="560" w:lineRule="exact"/>
        <w:jc w:val="center"/>
        <w:rPr>
          <w:rFonts w:ascii="仿宋_GB2312" w:eastAsia="仿宋_GB2312" w:hAnsi="宋体" w:cs="宋体"/>
          <w:kern w:val="0"/>
          <w:sz w:val="18"/>
          <w:szCs w:val="18"/>
        </w:rPr>
      </w:pPr>
    </w:p>
    <w:p w:rsidR="009A0AC3" w:rsidRDefault="009A0AC3">
      <w:pPr>
        <w:widowControl/>
        <w:adjustRightInd w:val="0"/>
        <w:snapToGrid w:val="0"/>
        <w:spacing w:line="560" w:lineRule="exact"/>
        <w:jc w:val="center"/>
        <w:rPr>
          <w:rFonts w:ascii="仿宋_GB2312" w:eastAsia="仿宋_GB2312" w:hAnsi="宋体" w:cs="宋体"/>
          <w:kern w:val="0"/>
          <w:sz w:val="18"/>
          <w:szCs w:val="18"/>
        </w:rPr>
      </w:pPr>
    </w:p>
    <w:p w:rsidR="009A0AC3" w:rsidRDefault="009A0AC3">
      <w:pPr>
        <w:widowControl/>
        <w:adjustRightInd w:val="0"/>
        <w:snapToGrid w:val="0"/>
        <w:spacing w:line="560" w:lineRule="exact"/>
        <w:jc w:val="center"/>
        <w:rPr>
          <w:rFonts w:ascii="仿宋_GB2312" w:eastAsia="仿宋_GB2312" w:hAnsi="宋体" w:cs="宋体"/>
          <w:kern w:val="0"/>
          <w:sz w:val="18"/>
          <w:szCs w:val="18"/>
        </w:rPr>
      </w:pPr>
    </w:p>
    <w:p w:rsidR="009A0AC3" w:rsidRDefault="004F2BBB">
      <w:pPr>
        <w:widowControl/>
        <w:adjustRightInd w:val="0"/>
        <w:snapToGrid w:val="0"/>
        <w:spacing w:line="560" w:lineRule="exact"/>
        <w:jc w:val="center"/>
        <w:rPr>
          <w:rFonts w:asciiTheme="majorEastAsia" w:eastAsiaTheme="majorEastAsia" w:hAnsiTheme="majorEastAsia" w:cs="Times New Roman"/>
          <w:bCs/>
          <w:color w:val="000000"/>
          <w:sz w:val="32"/>
          <w:szCs w:val="32"/>
        </w:rPr>
      </w:pPr>
      <w:r>
        <w:rPr>
          <w:rFonts w:asciiTheme="majorEastAsia" w:eastAsiaTheme="majorEastAsia" w:hAnsiTheme="majorEastAsia" w:cs="Times New Roman" w:hint="eastAsia"/>
          <w:bCs/>
          <w:color w:val="000000"/>
          <w:sz w:val="32"/>
          <w:szCs w:val="32"/>
        </w:rPr>
        <w:t>2018年1月</w:t>
      </w:r>
    </w:p>
    <w:p w:rsidR="009A0AC3" w:rsidRDefault="009A0AC3">
      <w:pPr>
        <w:widowControl/>
        <w:adjustRightInd w:val="0"/>
        <w:snapToGrid w:val="0"/>
        <w:spacing w:line="560" w:lineRule="exact"/>
        <w:jc w:val="center"/>
        <w:rPr>
          <w:rFonts w:ascii="楷体_GB2312" w:eastAsia="楷体_GB2312" w:hAnsi="??" w:cs="Times New Roman"/>
          <w:bCs/>
          <w:color w:val="000000"/>
          <w:sz w:val="32"/>
          <w:szCs w:val="32"/>
        </w:rPr>
      </w:pPr>
    </w:p>
    <w:p w:rsidR="009A0AC3" w:rsidRDefault="009A0AC3">
      <w:pPr>
        <w:widowControl/>
        <w:adjustRightInd w:val="0"/>
        <w:snapToGrid w:val="0"/>
        <w:spacing w:line="560" w:lineRule="exact"/>
        <w:jc w:val="center"/>
        <w:rPr>
          <w:rFonts w:ascii="楷体_GB2312" w:eastAsia="楷体_GB2312" w:hAnsi="??" w:cs="Times New Roman"/>
          <w:bCs/>
          <w:color w:val="000000"/>
          <w:sz w:val="32"/>
          <w:szCs w:val="32"/>
        </w:rPr>
      </w:pPr>
    </w:p>
    <w:sdt>
      <w:sdtPr>
        <w:rPr>
          <w:rFonts w:asciiTheme="minorHAnsi" w:eastAsiaTheme="minorEastAsia" w:hAnsiTheme="minorHAnsi" w:cstheme="minorBidi"/>
          <w:b w:val="0"/>
          <w:bCs w:val="0"/>
          <w:color w:val="auto"/>
          <w:kern w:val="2"/>
          <w:sz w:val="21"/>
          <w:szCs w:val="22"/>
          <w:lang w:val="zh-CN"/>
        </w:rPr>
        <w:id w:val="-342706806"/>
      </w:sdtPr>
      <w:sdtContent>
        <w:p w:rsidR="009A0AC3" w:rsidRDefault="004F2BBB">
          <w:pPr>
            <w:pStyle w:val="TOC1"/>
            <w:spacing w:before="0" w:line="240" w:lineRule="auto"/>
            <w:jc w:val="center"/>
            <w:rPr>
              <w:rFonts w:ascii="宋体" w:eastAsia="宋体" w:hAnsi="宋体"/>
              <w:sz w:val="32"/>
              <w:szCs w:val="32"/>
              <w:lang w:val="zh-CN"/>
            </w:rPr>
          </w:pPr>
          <w:r>
            <w:rPr>
              <w:rFonts w:ascii="宋体" w:eastAsia="宋体" w:hAnsi="宋体"/>
              <w:sz w:val="32"/>
              <w:szCs w:val="32"/>
              <w:lang w:val="zh-CN"/>
            </w:rPr>
            <w:t>目录</w:t>
          </w:r>
        </w:p>
        <w:p w:rsidR="009A0AC3" w:rsidRDefault="009A0AC3">
          <w:pPr>
            <w:rPr>
              <w:lang w:val="zh-CN"/>
            </w:rPr>
          </w:pPr>
        </w:p>
        <w:p w:rsidR="009A0AC3" w:rsidRDefault="00AB1E58">
          <w:pPr>
            <w:pStyle w:val="10"/>
            <w:spacing w:line="240" w:lineRule="auto"/>
            <w:rPr>
              <w:rFonts w:ascii="宋体" w:eastAsia="宋体" w:hAnsi="宋体"/>
              <w:kern w:val="2"/>
              <w:sz w:val="24"/>
              <w:szCs w:val="24"/>
            </w:rPr>
          </w:pPr>
          <w:r w:rsidRPr="00AB1E58">
            <w:rPr>
              <w:rFonts w:ascii="宋体" w:eastAsia="宋体" w:hAnsi="宋体"/>
              <w:sz w:val="24"/>
              <w:szCs w:val="24"/>
            </w:rPr>
            <w:fldChar w:fldCharType="begin"/>
          </w:r>
          <w:r w:rsidR="004F2BBB">
            <w:rPr>
              <w:rFonts w:ascii="宋体" w:eastAsia="宋体" w:hAnsi="宋体"/>
              <w:sz w:val="24"/>
              <w:szCs w:val="24"/>
            </w:rPr>
            <w:instrText xml:space="preserve"> TOC \o "1-3" \h \z \u </w:instrText>
          </w:r>
          <w:r w:rsidRPr="00AB1E58">
            <w:rPr>
              <w:rFonts w:ascii="宋体" w:eastAsia="宋体" w:hAnsi="宋体"/>
              <w:sz w:val="24"/>
              <w:szCs w:val="24"/>
            </w:rPr>
            <w:fldChar w:fldCharType="separate"/>
          </w:r>
          <w:hyperlink w:anchor="_Toc504331421" w:history="1">
            <w:r w:rsidR="004F2BBB">
              <w:rPr>
                <w:rStyle w:val="ab"/>
                <w:rFonts w:ascii="宋体" w:eastAsia="宋体" w:hAnsi="宋体"/>
                <w:sz w:val="24"/>
                <w:szCs w:val="24"/>
              </w:rPr>
              <w:t>1.</w:t>
            </w:r>
            <w:r w:rsidR="004F2BBB">
              <w:rPr>
                <w:rStyle w:val="ab"/>
                <w:rFonts w:ascii="宋体" w:eastAsia="宋体" w:hAnsi="宋体" w:hint="eastAsia"/>
                <w:sz w:val="24"/>
                <w:szCs w:val="24"/>
              </w:rPr>
              <w:t>学校情况</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_Toc504331421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3</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22" w:history="1">
            <w:r w:rsidR="004F2BBB">
              <w:rPr>
                <w:rStyle w:val="ab"/>
                <w:rFonts w:ascii="宋体" w:eastAsia="宋体" w:hAnsi="宋体"/>
                <w:kern w:val="44"/>
                <w:sz w:val="24"/>
                <w:szCs w:val="24"/>
              </w:rPr>
              <w:t>1.1</w:t>
            </w:r>
            <w:r w:rsidR="004F2BBB">
              <w:rPr>
                <w:rStyle w:val="ab"/>
                <w:rFonts w:ascii="宋体" w:eastAsia="宋体" w:hAnsi="宋体" w:hint="eastAsia"/>
                <w:kern w:val="44"/>
                <w:sz w:val="24"/>
                <w:szCs w:val="24"/>
              </w:rPr>
              <w:t>学校概况</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_Toc504331422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3</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23" w:history="1">
            <w:r w:rsidR="004F2BBB">
              <w:rPr>
                <w:rStyle w:val="ab"/>
                <w:rFonts w:ascii="宋体" w:eastAsia="宋体" w:hAnsi="宋体"/>
                <w:kern w:val="44"/>
                <w:sz w:val="24"/>
                <w:szCs w:val="24"/>
              </w:rPr>
              <w:t>1.2</w:t>
            </w:r>
            <w:r w:rsidR="004F2BBB">
              <w:rPr>
                <w:rStyle w:val="ab"/>
                <w:rFonts w:ascii="宋体" w:eastAsia="宋体" w:hAnsi="宋体" w:hint="eastAsia"/>
                <w:kern w:val="44"/>
                <w:sz w:val="24"/>
                <w:szCs w:val="24"/>
              </w:rPr>
              <w:t>学生情况</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_Toc504331423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4</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24" w:history="1">
            <w:r w:rsidR="004F2BBB">
              <w:rPr>
                <w:rStyle w:val="ab"/>
                <w:rFonts w:ascii="宋体" w:eastAsia="宋体" w:hAnsi="宋体"/>
                <w:kern w:val="44"/>
                <w:sz w:val="24"/>
                <w:szCs w:val="24"/>
              </w:rPr>
              <w:t>1.3</w:t>
            </w:r>
            <w:r w:rsidR="004F2BBB">
              <w:rPr>
                <w:rStyle w:val="ab"/>
                <w:rFonts w:ascii="宋体" w:eastAsia="宋体" w:hAnsi="宋体" w:hint="eastAsia"/>
                <w:kern w:val="44"/>
                <w:sz w:val="24"/>
                <w:szCs w:val="24"/>
              </w:rPr>
              <w:t>教师队伍</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_Toc504331424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5</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25" w:history="1">
            <w:r w:rsidR="004F2BBB">
              <w:rPr>
                <w:rStyle w:val="ab"/>
                <w:rFonts w:ascii="宋体" w:eastAsia="宋体" w:hAnsi="宋体"/>
                <w:kern w:val="44"/>
                <w:sz w:val="24"/>
                <w:szCs w:val="24"/>
              </w:rPr>
              <w:t>1.4</w:t>
            </w:r>
            <w:r w:rsidR="004F2BBB">
              <w:rPr>
                <w:rStyle w:val="ab"/>
                <w:rFonts w:ascii="宋体" w:eastAsia="宋体" w:hAnsi="宋体" w:hint="eastAsia"/>
                <w:kern w:val="44"/>
                <w:sz w:val="24"/>
                <w:szCs w:val="24"/>
              </w:rPr>
              <w:t>设施设备</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_Toc504331425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6</w:t>
            </w:r>
            <w:r>
              <w:rPr>
                <w:rFonts w:ascii="宋体" w:eastAsia="宋体" w:hAnsi="宋体"/>
                <w:sz w:val="24"/>
                <w:szCs w:val="24"/>
              </w:rPr>
              <w:fldChar w:fldCharType="end"/>
            </w:r>
          </w:hyperlink>
        </w:p>
        <w:p w:rsidR="009A0AC3" w:rsidRDefault="00AB1E58">
          <w:pPr>
            <w:pStyle w:val="10"/>
            <w:spacing w:line="240" w:lineRule="auto"/>
            <w:rPr>
              <w:rFonts w:ascii="宋体" w:eastAsia="宋体" w:hAnsi="宋体"/>
              <w:kern w:val="2"/>
              <w:sz w:val="24"/>
              <w:szCs w:val="24"/>
            </w:rPr>
          </w:pPr>
          <w:hyperlink w:anchor="_Toc504331426" w:history="1">
            <w:r w:rsidR="004F2BBB">
              <w:rPr>
                <w:rStyle w:val="ab"/>
                <w:rFonts w:ascii="宋体" w:eastAsia="宋体" w:hAnsi="宋体"/>
                <w:sz w:val="24"/>
                <w:szCs w:val="24"/>
              </w:rPr>
              <w:t>2.</w:t>
            </w:r>
            <w:r w:rsidR="004F2BBB">
              <w:rPr>
                <w:rStyle w:val="ab"/>
                <w:rFonts w:ascii="宋体" w:eastAsia="宋体" w:hAnsi="宋体" w:hint="eastAsia"/>
                <w:sz w:val="24"/>
                <w:szCs w:val="24"/>
              </w:rPr>
              <w:t>学生发展</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_Toc504331426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7</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27" w:history="1">
            <w:r w:rsidR="004F2BBB">
              <w:rPr>
                <w:rStyle w:val="ab"/>
                <w:rFonts w:ascii="宋体" w:eastAsia="宋体" w:hAnsi="宋体"/>
                <w:kern w:val="44"/>
                <w:sz w:val="24"/>
                <w:szCs w:val="24"/>
              </w:rPr>
              <w:t>2.1</w:t>
            </w:r>
            <w:r w:rsidR="004F2BBB">
              <w:rPr>
                <w:rStyle w:val="ab"/>
                <w:rFonts w:ascii="宋体" w:eastAsia="宋体" w:hAnsi="宋体" w:hint="eastAsia"/>
                <w:kern w:val="44"/>
                <w:sz w:val="24"/>
                <w:szCs w:val="24"/>
              </w:rPr>
              <w:t>学生素质</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_Toc504331427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7</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28" w:history="1">
            <w:r w:rsidR="004F2BBB">
              <w:rPr>
                <w:rStyle w:val="ab"/>
                <w:rFonts w:ascii="宋体" w:eastAsia="宋体" w:hAnsi="宋体"/>
                <w:kern w:val="44"/>
                <w:sz w:val="24"/>
                <w:szCs w:val="24"/>
              </w:rPr>
              <w:t>2.2</w:t>
            </w:r>
            <w:r w:rsidR="004F2BBB">
              <w:rPr>
                <w:rStyle w:val="ab"/>
                <w:rFonts w:ascii="宋体" w:eastAsia="宋体" w:hAnsi="宋体" w:hint="eastAsia"/>
                <w:kern w:val="44"/>
                <w:sz w:val="24"/>
                <w:szCs w:val="24"/>
              </w:rPr>
              <w:t>在校体验</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_Toc504331428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8</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29" w:history="1">
            <w:r w:rsidR="004F2BBB">
              <w:rPr>
                <w:rStyle w:val="ab"/>
                <w:rFonts w:ascii="宋体" w:eastAsia="宋体" w:hAnsi="宋体"/>
                <w:kern w:val="44"/>
                <w:sz w:val="24"/>
                <w:szCs w:val="24"/>
              </w:rPr>
              <w:t>2.3</w:t>
            </w:r>
            <w:r w:rsidR="004F2BBB">
              <w:rPr>
                <w:rStyle w:val="ab"/>
                <w:rFonts w:ascii="宋体" w:eastAsia="宋体" w:hAnsi="宋体" w:hint="eastAsia"/>
                <w:kern w:val="44"/>
                <w:sz w:val="24"/>
                <w:szCs w:val="24"/>
              </w:rPr>
              <w:t>资助情况</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_Toc504331429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8</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30" w:history="1">
            <w:r w:rsidR="004F2BBB">
              <w:rPr>
                <w:rStyle w:val="ab"/>
                <w:rFonts w:ascii="宋体" w:eastAsia="宋体" w:hAnsi="宋体"/>
                <w:kern w:val="44"/>
                <w:sz w:val="24"/>
                <w:szCs w:val="24"/>
              </w:rPr>
              <w:t>2.4</w:t>
            </w:r>
            <w:r w:rsidR="004F2BBB">
              <w:rPr>
                <w:rStyle w:val="ab"/>
                <w:rFonts w:ascii="宋体" w:eastAsia="宋体" w:hAnsi="宋体" w:hint="eastAsia"/>
                <w:kern w:val="44"/>
                <w:sz w:val="24"/>
                <w:szCs w:val="24"/>
              </w:rPr>
              <w:t>就业质量</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_Toc504331430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9</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31" w:history="1">
            <w:r w:rsidR="004F2BBB">
              <w:rPr>
                <w:rStyle w:val="ab"/>
                <w:rFonts w:ascii="宋体" w:eastAsia="宋体" w:hAnsi="宋体"/>
                <w:kern w:val="44"/>
                <w:sz w:val="24"/>
                <w:szCs w:val="24"/>
              </w:rPr>
              <w:t>2.5</w:t>
            </w:r>
            <w:r w:rsidR="004F2BBB">
              <w:rPr>
                <w:rStyle w:val="ab"/>
                <w:rFonts w:ascii="宋体" w:eastAsia="宋体" w:hAnsi="宋体" w:hint="eastAsia"/>
                <w:kern w:val="44"/>
                <w:sz w:val="24"/>
                <w:szCs w:val="24"/>
              </w:rPr>
              <w:t>职业发展</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_Toc504331431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10</w:t>
            </w:r>
            <w:r>
              <w:rPr>
                <w:rFonts w:ascii="宋体" w:eastAsia="宋体" w:hAnsi="宋体"/>
                <w:sz w:val="24"/>
                <w:szCs w:val="24"/>
              </w:rPr>
              <w:fldChar w:fldCharType="end"/>
            </w:r>
          </w:hyperlink>
        </w:p>
        <w:p w:rsidR="009A0AC3" w:rsidRDefault="00AB1E58">
          <w:pPr>
            <w:pStyle w:val="10"/>
            <w:spacing w:line="240" w:lineRule="auto"/>
            <w:rPr>
              <w:rFonts w:ascii="宋体" w:eastAsia="宋体" w:hAnsi="宋体"/>
              <w:kern w:val="2"/>
              <w:sz w:val="24"/>
              <w:szCs w:val="24"/>
            </w:rPr>
          </w:pPr>
          <w:hyperlink w:anchor="_Toc504331432" w:history="1">
            <w:r w:rsidR="004F2BBB">
              <w:rPr>
                <w:rStyle w:val="ab"/>
                <w:rFonts w:ascii="宋体" w:eastAsia="宋体" w:hAnsi="宋体"/>
                <w:sz w:val="24"/>
                <w:szCs w:val="24"/>
              </w:rPr>
              <w:t>3.</w:t>
            </w:r>
            <w:r w:rsidR="004F2BBB">
              <w:rPr>
                <w:rStyle w:val="ab"/>
                <w:rFonts w:ascii="宋体" w:eastAsia="宋体" w:hAnsi="宋体" w:hint="eastAsia"/>
                <w:sz w:val="24"/>
                <w:szCs w:val="24"/>
              </w:rPr>
              <w:t>质量保障措施</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_Toc504331432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11</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33" w:history="1">
            <w:r w:rsidR="004F2BBB">
              <w:rPr>
                <w:rStyle w:val="ab"/>
                <w:rFonts w:ascii="宋体" w:eastAsia="宋体" w:hAnsi="宋体"/>
                <w:kern w:val="44"/>
                <w:sz w:val="24"/>
                <w:szCs w:val="24"/>
              </w:rPr>
              <w:t>3.1</w:t>
            </w:r>
            <w:r w:rsidR="004F2BBB">
              <w:rPr>
                <w:rStyle w:val="ab"/>
                <w:rFonts w:ascii="宋体" w:eastAsia="宋体" w:hAnsi="宋体" w:hint="eastAsia"/>
                <w:kern w:val="44"/>
                <w:sz w:val="24"/>
                <w:szCs w:val="24"/>
              </w:rPr>
              <w:t>专业动态调整</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_Toc504331433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11</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34" w:history="1">
            <w:r w:rsidR="004F2BBB">
              <w:rPr>
                <w:rStyle w:val="ab"/>
                <w:rFonts w:ascii="宋体" w:eastAsia="宋体" w:hAnsi="宋体"/>
                <w:kern w:val="44"/>
                <w:sz w:val="24"/>
                <w:szCs w:val="24"/>
              </w:rPr>
              <w:t>3.2</w:t>
            </w:r>
            <w:r w:rsidR="004F2BBB">
              <w:rPr>
                <w:rStyle w:val="ab"/>
                <w:rFonts w:ascii="宋体" w:eastAsia="宋体" w:hAnsi="宋体" w:hint="eastAsia"/>
                <w:kern w:val="44"/>
                <w:sz w:val="24"/>
                <w:szCs w:val="24"/>
              </w:rPr>
              <w:t>教育教学改革</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_Toc504331434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12</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35" w:history="1">
            <w:r w:rsidR="004F2BBB">
              <w:rPr>
                <w:rStyle w:val="ab"/>
                <w:rFonts w:ascii="宋体" w:eastAsia="宋体" w:hAnsi="宋体"/>
                <w:kern w:val="44"/>
                <w:sz w:val="24"/>
                <w:szCs w:val="24"/>
              </w:rPr>
              <w:t>3.3</w:t>
            </w:r>
            <w:r w:rsidR="004F2BBB">
              <w:rPr>
                <w:rStyle w:val="ab"/>
                <w:rFonts w:ascii="宋体" w:eastAsia="宋体" w:hAnsi="宋体" w:hint="eastAsia"/>
                <w:kern w:val="44"/>
                <w:sz w:val="24"/>
                <w:szCs w:val="24"/>
              </w:rPr>
              <w:t>教师培养培训</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_Toc504331435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15</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36" w:history="1">
            <w:r w:rsidR="004F2BBB">
              <w:rPr>
                <w:rStyle w:val="ab"/>
                <w:rFonts w:ascii="宋体" w:eastAsia="宋体" w:hAnsi="宋体"/>
                <w:kern w:val="44"/>
                <w:sz w:val="24"/>
                <w:szCs w:val="24"/>
              </w:rPr>
              <w:t>3.4</w:t>
            </w:r>
            <w:r w:rsidR="004F2BBB">
              <w:rPr>
                <w:rStyle w:val="ab"/>
                <w:rFonts w:ascii="宋体" w:eastAsia="宋体" w:hAnsi="宋体" w:hint="eastAsia"/>
                <w:kern w:val="44"/>
                <w:sz w:val="24"/>
                <w:szCs w:val="24"/>
              </w:rPr>
              <w:t>规范管理情况</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_Toc504331436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15</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37" w:history="1">
            <w:r w:rsidR="004F2BBB">
              <w:rPr>
                <w:rStyle w:val="ab"/>
                <w:rFonts w:ascii="宋体" w:eastAsia="宋体" w:hAnsi="宋体"/>
                <w:kern w:val="44"/>
                <w:sz w:val="24"/>
                <w:szCs w:val="24"/>
              </w:rPr>
              <w:t>3.5</w:t>
            </w:r>
            <w:r w:rsidR="004F2BBB">
              <w:rPr>
                <w:rStyle w:val="ab"/>
                <w:rFonts w:ascii="宋体" w:eastAsia="宋体" w:hAnsi="宋体" w:hint="eastAsia"/>
                <w:kern w:val="44"/>
                <w:sz w:val="24"/>
                <w:szCs w:val="24"/>
              </w:rPr>
              <w:t>德育工作情况</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_Toc504331437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19</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38" w:history="1">
            <w:r w:rsidR="004F2BBB">
              <w:rPr>
                <w:rStyle w:val="ab"/>
                <w:rFonts w:ascii="宋体" w:eastAsia="宋体" w:hAnsi="宋体"/>
                <w:kern w:val="44"/>
                <w:sz w:val="24"/>
                <w:szCs w:val="24"/>
              </w:rPr>
              <w:t>3.6</w:t>
            </w:r>
            <w:r w:rsidR="004F2BBB">
              <w:rPr>
                <w:rStyle w:val="ab"/>
                <w:rFonts w:ascii="宋体" w:eastAsia="宋体" w:hAnsi="宋体" w:hint="eastAsia"/>
                <w:kern w:val="44"/>
                <w:sz w:val="24"/>
                <w:szCs w:val="24"/>
              </w:rPr>
              <w:t>党建情况</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_Toc504331438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21</w:t>
            </w:r>
            <w:r>
              <w:rPr>
                <w:rFonts w:ascii="宋体" w:eastAsia="宋体" w:hAnsi="宋体"/>
                <w:sz w:val="24"/>
                <w:szCs w:val="24"/>
              </w:rPr>
              <w:fldChar w:fldCharType="end"/>
            </w:r>
          </w:hyperlink>
        </w:p>
        <w:p w:rsidR="009A0AC3" w:rsidRDefault="00AB1E58">
          <w:pPr>
            <w:pStyle w:val="10"/>
            <w:spacing w:line="240" w:lineRule="auto"/>
            <w:rPr>
              <w:rFonts w:ascii="宋体" w:eastAsia="宋体" w:hAnsi="宋体"/>
              <w:kern w:val="2"/>
              <w:sz w:val="24"/>
              <w:szCs w:val="24"/>
            </w:rPr>
          </w:pPr>
          <w:hyperlink w:anchor="_Toc504331439" w:history="1">
            <w:r w:rsidR="004F2BBB">
              <w:rPr>
                <w:rStyle w:val="ab"/>
                <w:rFonts w:ascii="宋体" w:eastAsia="宋体" w:hAnsi="宋体"/>
                <w:b/>
                <w:sz w:val="24"/>
                <w:szCs w:val="24"/>
              </w:rPr>
              <w:t>4.</w:t>
            </w:r>
            <w:r w:rsidR="004F2BBB">
              <w:rPr>
                <w:rStyle w:val="ab"/>
                <w:rFonts w:ascii="宋体" w:eastAsia="宋体" w:hAnsi="宋体" w:hint="eastAsia"/>
                <w:b/>
                <w:sz w:val="24"/>
                <w:szCs w:val="24"/>
              </w:rPr>
              <w:t>校企合作</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_Toc504331439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22</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40" w:history="1">
            <w:r w:rsidR="004F2BBB">
              <w:rPr>
                <w:rStyle w:val="ab"/>
                <w:rFonts w:ascii="宋体" w:eastAsia="宋体" w:hAnsi="宋体"/>
                <w:sz w:val="24"/>
                <w:szCs w:val="24"/>
              </w:rPr>
              <w:t>4.1</w:t>
            </w:r>
            <w:r w:rsidR="004F2BBB">
              <w:rPr>
                <w:rStyle w:val="ab"/>
                <w:rFonts w:ascii="宋体" w:eastAsia="宋体" w:hAnsi="宋体" w:hint="eastAsia"/>
                <w:sz w:val="24"/>
                <w:szCs w:val="24"/>
              </w:rPr>
              <w:t>校企合作开展情况和效果</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_Toc504331440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22</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41" w:history="1">
            <w:r w:rsidR="004F2BBB">
              <w:rPr>
                <w:rStyle w:val="ab"/>
                <w:rFonts w:ascii="宋体" w:eastAsia="宋体" w:hAnsi="宋体"/>
                <w:sz w:val="24"/>
                <w:szCs w:val="24"/>
              </w:rPr>
              <w:t>4.2</w:t>
            </w:r>
            <w:r w:rsidR="004F2BBB">
              <w:rPr>
                <w:rStyle w:val="ab"/>
                <w:rFonts w:ascii="宋体" w:eastAsia="宋体" w:hAnsi="宋体" w:hint="eastAsia"/>
                <w:sz w:val="24"/>
                <w:szCs w:val="24"/>
              </w:rPr>
              <w:t>学生实习情况</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_Toc504331441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23</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42" w:history="1">
            <w:r w:rsidR="004F2BBB">
              <w:rPr>
                <w:rStyle w:val="ab"/>
                <w:rFonts w:ascii="宋体" w:eastAsia="宋体" w:hAnsi="宋体"/>
                <w:sz w:val="24"/>
                <w:szCs w:val="24"/>
              </w:rPr>
              <w:t>4.3</w:t>
            </w:r>
            <w:r w:rsidR="004F2BBB">
              <w:rPr>
                <w:rStyle w:val="ab"/>
                <w:rFonts w:ascii="宋体" w:eastAsia="宋体" w:hAnsi="宋体" w:hint="eastAsia"/>
                <w:sz w:val="24"/>
                <w:szCs w:val="24"/>
              </w:rPr>
              <w:t>集团化办学情况</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_Toc504331442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24</w:t>
            </w:r>
            <w:r>
              <w:rPr>
                <w:rFonts w:ascii="宋体" w:eastAsia="宋体" w:hAnsi="宋体"/>
                <w:sz w:val="24"/>
                <w:szCs w:val="24"/>
              </w:rPr>
              <w:fldChar w:fldCharType="end"/>
            </w:r>
          </w:hyperlink>
        </w:p>
        <w:p w:rsidR="009A0AC3" w:rsidRDefault="00AB1E58">
          <w:pPr>
            <w:pStyle w:val="10"/>
            <w:spacing w:line="240" w:lineRule="auto"/>
            <w:rPr>
              <w:rFonts w:ascii="宋体" w:eastAsia="宋体" w:hAnsi="宋体"/>
              <w:kern w:val="2"/>
              <w:sz w:val="24"/>
              <w:szCs w:val="24"/>
            </w:rPr>
          </w:pPr>
          <w:hyperlink w:anchor="_Toc504331443" w:history="1">
            <w:r w:rsidR="004F2BBB">
              <w:rPr>
                <w:rStyle w:val="ab"/>
                <w:rFonts w:ascii="宋体" w:eastAsia="宋体" w:hAnsi="宋体"/>
                <w:b/>
                <w:sz w:val="24"/>
                <w:szCs w:val="24"/>
              </w:rPr>
              <w:t>5.</w:t>
            </w:r>
            <w:r w:rsidR="004F2BBB">
              <w:rPr>
                <w:rStyle w:val="ab"/>
                <w:rFonts w:ascii="宋体" w:eastAsia="宋体" w:hAnsi="宋体" w:hint="eastAsia"/>
                <w:b/>
                <w:sz w:val="24"/>
                <w:szCs w:val="24"/>
              </w:rPr>
              <w:t>社会贡献</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_Toc504331443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24</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44" w:history="1">
            <w:r w:rsidR="004F2BBB">
              <w:rPr>
                <w:rStyle w:val="ab"/>
                <w:rFonts w:ascii="宋体" w:eastAsia="宋体" w:hAnsi="宋体"/>
                <w:sz w:val="24"/>
                <w:szCs w:val="24"/>
              </w:rPr>
              <w:t>5.1</w:t>
            </w:r>
            <w:r w:rsidR="004F2BBB">
              <w:rPr>
                <w:rStyle w:val="ab"/>
                <w:rFonts w:ascii="宋体" w:eastAsia="宋体" w:hAnsi="宋体" w:hint="eastAsia"/>
                <w:sz w:val="24"/>
                <w:szCs w:val="24"/>
              </w:rPr>
              <w:t>技术技能人才培养</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_Toc504331444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24</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45" w:history="1">
            <w:r w:rsidR="004F2BBB">
              <w:rPr>
                <w:rStyle w:val="ab"/>
                <w:rFonts w:ascii="宋体" w:eastAsia="宋体" w:hAnsi="宋体"/>
                <w:sz w:val="24"/>
                <w:szCs w:val="24"/>
              </w:rPr>
              <w:t>5.2</w:t>
            </w:r>
            <w:r w:rsidR="004F2BBB">
              <w:rPr>
                <w:rStyle w:val="ab"/>
                <w:rFonts w:ascii="宋体" w:eastAsia="宋体" w:hAnsi="宋体" w:hint="eastAsia"/>
                <w:sz w:val="24"/>
                <w:szCs w:val="24"/>
              </w:rPr>
              <w:t>社会服务</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_Toc504331445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24</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46" w:history="1">
            <w:r w:rsidR="004F2BBB">
              <w:rPr>
                <w:rStyle w:val="ab"/>
                <w:rFonts w:ascii="宋体" w:eastAsia="宋体" w:hAnsi="宋体"/>
                <w:sz w:val="24"/>
                <w:szCs w:val="24"/>
              </w:rPr>
              <w:t>5.3</w:t>
            </w:r>
            <w:r w:rsidR="004F2BBB">
              <w:rPr>
                <w:rStyle w:val="ab"/>
                <w:rFonts w:ascii="宋体" w:eastAsia="宋体" w:hAnsi="宋体" w:hint="eastAsia"/>
                <w:sz w:val="24"/>
                <w:szCs w:val="24"/>
              </w:rPr>
              <w:t>对口支援</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_Toc504331446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25</w:t>
            </w:r>
            <w:r>
              <w:rPr>
                <w:rFonts w:ascii="宋体" w:eastAsia="宋体" w:hAnsi="宋体"/>
                <w:sz w:val="24"/>
                <w:szCs w:val="24"/>
              </w:rPr>
              <w:fldChar w:fldCharType="end"/>
            </w:r>
          </w:hyperlink>
        </w:p>
        <w:p w:rsidR="009A0AC3" w:rsidRDefault="00AB1E58">
          <w:pPr>
            <w:pStyle w:val="10"/>
            <w:spacing w:line="240" w:lineRule="auto"/>
            <w:rPr>
              <w:rFonts w:ascii="宋体" w:eastAsia="宋体" w:hAnsi="宋体"/>
              <w:kern w:val="2"/>
              <w:sz w:val="24"/>
              <w:szCs w:val="24"/>
            </w:rPr>
          </w:pPr>
          <w:hyperlink w:anchor="_Toc504331447" w:history="1">
            <w:r w:rsidR="004F2BBB">
              <w:rPr>
                <w:rStyle w:val="ab"/>
                <w:rFonts w:ascii="宋体" w:eastAsia="宋体" w:hAnsi="宋体"/>
                <w:sz w:val="24"/>
                <w:szCs w:val="24"/>
              </w:rPr>
              <w:t>6.</w:t>
            </w:r>
            <w:r w:rsidR="004F2BBB">
              <w:rPr>
                <w:rStyle w:val="ab"/>
                <w:rFonts w:ascii="宋体" w:eastAsia="宋体" w:hAnsi="宋体" w:hint="eastAsia"/>
                <w:sz w:val="24"/>
                <w:szCs w:val="24"/>
              </w:rPr>
              <w:t>举办者履责</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_Toc504331447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25</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48" w:history="1">
            <w:r w:rsidR="004F2BBB">
              <w:rPr>
                <w:rStyle w:val="ab"/>
                <w:rFonts w:ascii="宋体" w:eastAsia="宋体" w:hAnsi="宋体"/>
                <w:sz w:val="24"/>
                <w:szCs w:val="24"/>
              </w:rPr>
              <w:t>6.1</w:t>
            </w:r>
            <w:r w:rsidR="004F2BBB">
              <w:rPr>
                <w:rStyle w:val="ab"/>
                <w:rFonts w:ascii="宋体" w:eastAsia="宋体" w:hAnsi="宋体" w:hint="eastAsia"/>
                <w:sz w:val="24"/>
                <w:szCs w:val="24"/>
              </w:rPr>
              <w:t>经费</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_Toc504331448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25</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49" w:history="1">
            <w:r w:rsidR="004F2BBB">
              <w:rPr>
                <w:rStyle w:val="ab"/>
                <w:rFonts w:ascii="宋体" w:eastAsia="宋体" w:hAnsi="宋体"/>
                <w:sz w:val="24"/>
                <w:szCs w:val="24"/>
              </w:rPr>
              <w:t>6.2</w:t>
            </w:r>
            <w:r w:rsidR="004F2BBB">
              <w:rPr>
                <w:rStyle w:val="ab"/>
                <w:rFonts w:ascii="宋体" w:eastAsia="宋体" w:hAnsi="宋体" w:hint="eastAsia"/>
                <w:sz w:val="24"/>
                <w:szCs w:val="24"/>
              </w:rPr>
              <w:t>政策措施</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_Toc504331449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26</w:t>
            </w:r>
            <w:r>
              <w:rPr>
                <w:rFonts w:ascii="宋体" w:eastAsia="宋体" w:hAnsi="宋体"/>
                <w:sz w:val="24"/>
                <w:szCs w:val="24"/>
              </w:rPr>
              <w:fldChar w:fldCharType="end"/>
            </w:r>
          </w:hyperlink>
        </w:p>
        <w:p w:rsidR="009A0AC3" w:rsidRDefault="00AB1E58">
          <w:pPr>
            <w:pStyle w:val="10"/>
            <w:spacing w:line="240" w:lineRule="auto"/>
            <w:rPr>
              <w:rFonts w:ascii="宋体" w:eastAsia="宋体" w:hAnsi="宋体"/>
              <w:kern w:val="2"/>
              <w:sz w:val="24"/>
              <w:szCs w:val="24"/>
            </w:rPr>
          </w:pPr>
          <w:hyperlink w:anchor="_Toc504331450" w:history="1">
            <w:r w:rsidR="004F2BBB">
              <w:rPr>
                <w:rStyle w:val="ab"/>
                <w:rFonts w:ascii="宋体" w:eastAsia="宋体" w:hAnsi="宋体"/>
                <w:sz w:val="24"/>
                <w:szCs w:val="24"/>
              </w:rPr>
              <w:t>7.</w:t>
            </w:r>
            <w:r w:rsidR="004F2BBB">
              <w:rPr>
                <w:rStyle w:val="ab"/>
                <w:rFonts w:ascii="宋体" w:eastAsia="宋体" w:hAnsi="宋体" w:hint="eastAsia"/>
                <w:sz w:val="24"/>
                <w:szCs w:val="24"/>
              </w:rPr>
              <w:t>特色创新</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_Toc504331450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27</w:t>
            </w:r>
            <w:r>
              <w:rPr>
                <w:rFonts w:ascii="宋体" w:eastAsia="宋体" w:hAnsi="宋体"/>
                <w:sz w:val="24"/>
                <w:szCs w:val="24"/>
              </w:rPr>
              <w:fldChar w:fldCharType="end"/>
            </w:r>
          </w:hyperlink>
        </w:p>
        <w:p w:rsidR="009A0AC3" w:rsidRDefault="00AB1E58">
          <w:pPr>
            <w:pStyle w:val="20"/>
            <w:spacing w:line="240" w:lineRule="auto"/>
            <w:rPr>
              <w:rFonts w:ascii="宋体" w:eastAsia="宋体" w:hAnsi="宋体"/>
              <w:kern w:val="2"/>
              <w:sz w:val="24"/>
              <w:szCs w:val="24"/>
            </w:rPr>
          </w:pPr>
          <w:hyperlink w:anchor="_Toc504331451" w:history="1">
            <w:r w:rsidR="004F2BBB">
              <w:rPr>
                <w:rStyle w:val="ab"/>
                <w:rFonts w:ascii="宋体" w:eastAsia="宋体" w:hAnsi="宋体" w:hint="eastAsia"/>
                <w:sz w:val="24"/>
                <w:szCs w:val="24"/>
              </w:rPr>
              <w:t>发挥广西现代商贸职教集团优势提高电子商务专业建设质量</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_Toc504331451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27</w:t>
            </w:r>
            <w:r>
              <w:rPr>
                <w:rFonts w:ascii="宋体" w:eastAsia="宋体" w:hAnsi="宋体"/>
                <w:sz w:val="24"/>
                <w:szCs w:val="24"/>
              </w:rPr>
              <w:fldChar w:fldCharType="end"/>
            </w:r>
          </w:hyperlink>
        </w:p>
        <w:p w:rsidR="009A0AC3" w:rsidRDefault="00AB1E58">
          <w:pPr>
            <w:pStyle w:val="10"/>
            <w:spacing w:line="240" w:lineRule="auto"/>
            <w:rPr>
              <w:rFonts w:ascii="宋体" w:eastAsia="宋体" w:hAnsi="宋体"/>
              <w:kern w:val="2"/>
              <w:sz w:val="24"/>
              <w:szCs w:val="24"/>
            </w:rPr>
          </w:pPr>
          <w:hyperlink w:anchor="_Toc504331452" w:history="1">
            <w:r w:rsidR="004F2BBB">
              <w:rPr>
                <w:rStyle w:val="ab"/>
                <w:rFonts w:ascii="宋体" w:eastAsia="宋体" w:hAnsi="宋体"/>
                <w:sz w:val="24"/>
                <w:szCs w:val="24"/>
              </w:rPr>
              <w:t>8.</w:t>
            </w:r>
            <w:r w:rsidR="004F2BBB">
              <w:rPr>
                <w:rStyle w:val="ab"/>
                <w:rFonts w:ascii="宋体" w:eastAsia="宋体" w:hAnsi="宋体" w:hint="eastAsia"/>
                <w:sz w:val="24"/>
                <w:szCs w:val="24"/>
              </w:rPr>
              <w:t>主要问题和改进措施</w:t>
            </w:r>
            <w:r w:rsidR="004F2BBB">
              <w:rPr>
                <w:rFonts w:ascii="宋体" w:eastAsia="宋体" w:hAnsi="宋体"/>
                <w:sz w:val="24"/>
                <w:szCs w:val="24"/>
              </w:rPr>
              <w:tab/>
            </w:r>
            <w:r>
              <w:rPr>
                <w:rFonts w:ascii="宋体" w:eastAsia="宋体" w:hAnsi="宋体"/>
                <w:sz w:val="24"/>
                <w:szCs w:val="24"/>
              </w:rPr>
              <w:fldChar w:fldCharType="begin"/>
            </w:r>
            <w:r w:rsidR="004F2BBB">
              <w:rPr>
                <w:rFonts w:ascii="宋体" w:eastAsia="宋体" w:hAnsi="宋体"/>
                <w:sz w:val="24"/>
                <w:szCs w:val="24"/>
              </w:rPr>
              <w:instrText xml:space="preserve"> PAGEREF _Toc504331452 \h </w:instrText>
            </w:r>
            <w:r>
              <w:rPr>
                <w:rFonts w:ascii="宋体" w:eastAsia="宋体" w:hAnsi="宋体"/>
                <w:sz w:val="24"/>
                <w:szCs w:val="24"/>
              </w:rPr>
            </w:r>
            <w:r>
              <w:rPr>
                <w:rFonts w:ascii="宋体" w:eastAsia="宋体" w:hAnsi="宋体"/>
                <w:sz w:val="24"/>
                <w:szCs w:val="24"/>
              </w:rPr>
              <w:fldChar w:fldCharType="separate"/>
            </w:r>
            <w:r w:rsidR="004F2BBB">
              <w:rPr>
                <w:rFonts w:ascii="宋体" w:eastAsia="宋体" w:hAnsi="宋体"/>
                <w:sz w:val="24"/>
                <w:szCs w:val="24"/>
              </w:rPr>
              <w:t>32</w:t>
            </w:r>
            <w:r>
              <w:rPr>
                <w:rFonts w:ascii="宋体" w:eastAsia="宋体" w:hAnsi="宋体"/>
                <w:sz w:val="24"/>
                <w:szCs w:val="24"/>
              </w:rPr>
              <w:fldChar w:fldCharType="end"/>
            </w:r>
          </w:hyperlink>
        </w:p>
        <w:p w:rsidR="009A0AC3" w:rsidRDefault="00AB1E58">
          <w:r>
            <w:rPr>
              <w:rFonts w:ascii="宋体" w:eastAsia="宋体" w:hAnsi="宋体"/>
              <w:b/>
              <w:bCs/>
              <w:sz w:val="24"/>
              <w:szCs w:val="24"/>
              <w:lang w:val="zh-CN"/>
            </w:rPr>
            <w:fldChar w:fldCharType="end"/>
          </w:r>
        </w:p>
      </w:sdtContent>
    </w:sdt>
    <w:p w:rsidR="009A0AC3" w:rsidRDefault="009A0AC3">
      <w:pPr>
        <w:spacing w:line="560" w:lineRule="exact"/>
        <w:jc w:val="center"/>
        <w:rPr>
          <w:rFonts w:asciiTheme="majorEastAsia" w:eastAsiaTheme="majorEastAsia" w:hAnsiTheme="majorEastAsia" w:cs="Times New Roman"/>
          <w:bCs/>
          <w:sz w:val="44"/>
          <w:szCs w:val="44"/>
        </w:rPr>
      </w:pPr>
    </w:p>
    <w:p w:rsidR="009A0AC3" w:rsidRDefault="009A0AC3">
      <w:pPr>
        <w:spacing w:line="560" w:lineRule="exact"/>
        <w:jc w:val="center"/>
        <w:rPr>
          <w:rFonts w:asciiTheme="majorEastAsia" w:eastAsiaTheme="majorEastAsia" w:hAnsiTheme="majorEastAsia" w:cs="Times New Roman"/>
          <w:bCs/>
          <w:sz w:val="44"/>
          <w:szCs w:val="44"/>
        </w:rPr>
      </w:pPr>
    </w:p>
    <w:p w:rsidR="009A0AC3" w:rsidRDefault="009A0AC3">
      <w:pPr>
        <w:spacing w:line="560" w:lineRule="exact"/>
        <w:jc w:val="center"/>
        <w:rPr>
          <w:rFonts w:asciiTheme="majorEastAsia" w:eastAsiaTheme="majorEastAsia" w:hAnsiTheme="majorEastAsia" w:cs="Times New Roman"/>
          <w:bCs/>
          <w:sz w:val="44"/>
          <w:szCs w:val="44"/>
        </w:rPr>
      </w:pPr>
    </w:p>
    <w:p w:rsidR="009A0AC3" w:rsidRDefault="009A0AC3">
      <w:pPr>
        <w:spacing w:line="560" w:lineRule="exact"/>
        <w:jc w:val="center"/>
        <w:rPr>
          <w:rFonts w:asciiTheme="majorEastAsia" w:eastAsiaTheme="majorEastAsia" w:hAnsiTheme="majorEastAsia" w:cs="Times New Roman"/>
          <w:bCs/>
          <w:sz w:val="44"/>
          <w:szCs w:val="44"/>
        </w:rPr>
      </w:pPr>
    </w:p>
    <w:p w:rsidR="009A0AC3" w:rsidRDefault="004F2BBB">
      <w:pPr>
        <w:spacing w:line="560" w:lineRule="exact"/>
        <w:jc w:val="center"/>
        <w:rPr>
          <w:rFonts w:asciiTheme="minorEastAsia" w:hAnsiTheme="minorEastAsia" w:cs="Times New Roman"/>
          <w:bCs/>
          <w:sz w:val="32"/>
          <w:szCs w:val="32"/>
        </w:rPr>
      </w:pPr>
      <w:r>
        <w:rPr>
          <w:rFonts w:asciiTheme="minorEastAsia" w:hAnsiTheme="minorEastAsia" w:cs="Times New Roman" w:hint="eastAsia"/>
          <w:bCs/>
          <w:sz w:val="32"/>
          <w:szCs w:val="32"/>
        </w:rPr>
        <w:lastRenderedPageBreak/>
        <w:t>广西</w:t>
      </w:r>
      <w:r>
        <w:rPr>
          <w:rFonts w:asciiTheme="minorEastAsia" w:hAnsiTheme="minorEastAsia" w:cs="Times New Roman"/>
          <w:bCs/>
          <w:sz w:val="32"/>
          <w:szCs w:val="32"/>
        </w:rPr>
        <w:t>钦州商贸</w:t>
      </w:r>
      <w:r>
        <w:rPr>
          <w:rFonts w:asciiTheme="minorEastAsia" w:hAnsiTheme="minorEastAsia" w:cs="Times New Roman" w:hint="eastAsia"/>
          <w:bCs/>
          <w:sz w:val="32"/>
          <w:szCs w:val="32"/>
        </w:rPr>
        <w:t>学校</w:t>
      </w:r>
    </w:p>
    <w:p w:rsidR="009A0AC3" w:rsidRDefault="004F2BBB">
      <w:pPr>
        <w:spacing w:line="560" w:lineRule="exact"/>
        <w:jc w:val="center"/>
        <w:rPr>
          <w:rFonts w:asciiTheme="minorEastAsia" w:hAnsiTheme="minorEastAsia" w:cs="Times New Roman"/>
          <w:bCs/>
          <w:sz w:val="32"/>
          <w:szCs w:val="32"/>
        </w:rPr>
      </w:pPr>
      <w:r>
        <w:rPr>
          <w:rFonts w:asciiTheme="minorEastAsia" w:hAnsiTheme="minorEastAsia" w:cs="Times New Roman" w:hint="eastAsia"/>
          <w:bCs/>
          <w:sz w:val="32"/>
          <w:szCs w:val="32"/>
        </w:rPr>
        <w:t xml:space="preserve"> 2017年度教育质量年度报告</w:t>
      </w:r>
    </w:p>
    <w:p w:rsidR="009A0AC3" w:rsidRDefault="009A0AC3">
      <w:pPr>
        <w:spacing w:line="560" w:lineRule="exact"/>
        <w:jc w:val="center"/>
        <w:rPr>
          <w:rFonts w:asciiTheme="minorEastAsia" w:hAnsiTheme="minorEastAsia" w:cs="Times New Roman"/>
          <w:bCs/>
          <w:sz w:val="32"/>
          <w:szCs w:val="32"/>
        </w:rPr>
      </w:pPr>
    </w:p>
    <w:p w:rsidR="009A0AC3" w:rsidRDefault="004F2BBB">
      <w:pPr>
        <w:widowControl/>
        <w:adjustRightInd w:val="0"/>
        <w:snapToGrid w:val="0"/>
        <w:spacing w:line="560" w:lineRule="exact"/>
        <w:ind w:firstLineChars="200" w:firstLine="640"/>
        <w:rPr>
          <w:rFonts w:asciiTheme="minorEastAsia" w:hAnsiTheme="minorEastAsia" w:cs="宋体"/>
          <w:kern w:val="0"/>
          <w:sz w:val="32"/>
          <w:szCs w:val="32"/>
        </w:rPr>
      </w:pPr>
      <w:r>
        <w:rPr>
          <w:rFonts w:asciiTheme="minorEastAsia" w:hAnsiTheme="minorEastAsia" w:hint="eastAsia"/>
          <w:sz w:val="32"/>
          <w:szCs w:val="32"/>
        </w:rPr>
        <w:t>广西钦州商贸学校创办于1979年，是自治区直属全日制省部级重点中等职业学校和自治区示范性特色中等职业学校，隶属广西壮族自治区供销合作联社管理。原名称为广西供销学校钦州分校，1988年经自治区人民政府批准更名为广西钦州供销学校，1996年再次经自治区人民政府批准更名为广西</w:t>
      </w:r>
      <w:r>
        <w:rPr>
          <w:rFonts w:asciiTheme="minorEastAsia" w:hAnsiTheme="minorEastAsia"/>
          <w:sz w:val="32"/>
          <w:szCs w:val="32"/>
        </w:rPr>
        <w:t>钦州商贸学校</w:t>
      </w:r>
      <w:r>
        <w:rPr>
          <w:rFonts w:asciiTheme="minorEastAsia" w:hAnsiTheme="minorEastAsia" w:hint="eastAsia"/>
          <w:sz w:val="32"/>
          <w:szCs w:val="32"/>
        </w:rPr>
        <w:t>。学校坚持“以中职教育为主、成人教育为辅、兼顾技能培训”的办学思路，坚持“工学结合、校企合作、顶岗实习”的办学模式，贯彻“以教学质量求生存、以办学特色求发展、以强化管理上水平，以适应市场促创新”的办学原则，坚持“质量立校、发展兴校、特色强校”的办学方向，树立“学生为本、品行为首、技能为主、就业为重”的工作目标，秉承“让学生成才、让家长放心、让社会满意”的办学宗旨，务求使学生“学会学习、学会工作、学会发展"。学校多次荣获自治区级和市级“教育先进单位”、“卫生优秀学校”、“无毒单位”、“治安稳定单位”等称号，办学能力和办学质量逐年攀升，为区域经济和社会发展做出了突出贡献。</w:t>
      </w:r>
    </w:p>
    <w:p w:rsidR="009A0AC3" w:rsidRDefault="004F2BBB">
      <w:pPr>
        <w:pStyle w:val="1"/>
        <w:spacing w:before="0" w:after="0" w:line="560" w:lineRule="exact"/>
        <w:ind w:firstLineChars="183" w:firstLine="588"/>
        <w:rPr>
          <w:rFonts w:asciiTheme="minorEastAsia" w:hAnsiTheme="minorEastAsia"/>
          <w:sz w:val="32"/>
          <w:szCs w:val="32"/>
        </w:rPr>
      </w:pPr>
      <w:bookmarkStart w:id="0" w:name="_Toc504331421"/>
      <w:bookmarkStart w:id="1" w:name="_Toc504330221"/>
      <w:r>
        <w:rPr>
          <w:rFonts w:asciiTheme="minorEastAsia" w:hAnsiTheme="minorEastAsia" w:hint="eastAsia"/>
          <w:sz w:val="32"/>
          <w:szCs w:val="32"/>
        </w:rPr>
        <w:t>1.学校情况</w:t>
      </w:r>
      <w:bookmarkEnd w:id="0"/>
      <w:bookmarkEnd w:id="1"/>
    </w:p>
    <w:p w:rsidR="009A0AC3" w:rsidRDefault="004F2BBB">
      <w:pPr>
        <w:pStyle w:val="2"/>
        <w:spacing w:before="0" w:after="0" w:line="560" w:lineRule="exact"/>
        <w:ind w:firstLineChars="183" w:firstLine="586"/>
        <w:rPr>
          <w:rFonts w:asciiTheme="minorEastAsia" w:eastAsiaTheme="minorEastAsia" w:hAnsiTheme="minorEastAsia" w:cstheme="minorBidi"/>
          <w:b w:val="0"/>
          <w:kern w:val="44"/>
        </w:rPr>
      </w:pPr>
      <w:bookmarkStart w:id="2" w:name="_Toc504330222"/>
      <w:bookmarkStart w:id="3" w:name="_Toc504331422"/>
      <w:r>
        <w:rPr>
          <w:rFonts w:asciiTheme="minorEastAsia" w:eastAsiaTheme="minorEastAsia" w:hAnsiTheme="minorEastAsia" w:cstheme="minorBidi" w:hint="eastAsia"/>
          <w:b w:val="0"/>
          <w:kern w:val="44"/>
        </w:rPr>
        <w:t>1.1学校概况</w:t>
      </w:r>
      <w:bookmarkEnd w:id="2"/>
      <w:bookmarkEnd w:id="3"/>
    </w:p>
    <w:p w:rsidR="009A0AC3" w:rsidRDefault="004F2BBB">
      <w:pPr>
        <w:spacing w:line="560" w:lineRule="exact"/>
        <w:ind w:firstLineChars="183" w:firstLine="586"/>
        <w:rPr>
          <w:rFonts w:asciiTheme="minorEastAsia" w:hAnsiTheme="minorEastAsia"/>
          <w:sz w:val="32"/>
          <w:szCs w:val="32"/>
        </w:rPr>
      </w:pPr>
      <w:r>
        <w:rPr>
          <w:rFonts w:asciiTheme="minorEastAsia" w:hAnsiTheme="minorEastAsia" w:hint="eastAsia"/>
          <w:sz w:val="32"/>
          <w:szCs w:val="32"/>
        </w:rPr>
        <w:t>校名：广西</w:t>
      </w:r>
      <w:r>
        <w:rPr>
          <w:rFonts w:asciiTheme="minorEastAsia" w:hAnsiTheme="minorEastAsia"/>
          <w:sz w:val="32"/>
          <w:szCs w:val="32"/>
        </w:rPr>
        <w:t>钦州商贸</w:t>
      </w:r>
      <w:r>
        <w:rPr>
          <w:rFonts w:asciiTheme="minorEastAsia" w:hAnsiTheme="minorEastAsia" w:hint="eastAsia"/>
          <w:sz w:val="32"/>
          <w:szCs w:val="32"/>
        </w:rPr>
        <w:t>学校</w:t>
      </w:r>
    </w:p>
    <w:p w:rsidR="009A0AC3" w:rsidRDefault="004F2BBB">
      <w:pPr>
        <w:spacing w:line="560" w:lineRule="exact"/>
        <w:ind w:firstLineChars="183" w:firstLine="586"/>
        <w:rPr>
          <w:rFonts w:asciiTheme="minorEastAsia" w:hAnsiTheme="minorEastAsia"/>
          <w:sz w:val="32"/>
          <w:szCs w:val="32"/>
        </w:rPr>
      </w:pPr>
      <w:r>
        <w:rPr>
          <w:rFonts w:asciiTheme="minorEastAsia" w:hAnsiTheme="minorEastAsia" w:hint="eastAsia"/>
          <w:sz w:val="32"/>
          <w:szCs w:val="32"/>
        </w:rPr>
        <w:t>办学性质：全额拨款事业单位</w:t>
      </w:r>
    </w:p>
    <w:p w:rsidR="009A0AC3" w:rsidRDefault="004F2BBB">
      <w:pPr>
        <w:spacing w:line="560" w:lineRule="exact"/>
        <w:ind w:firstLineChars="183" w:firstLine="586"/>
        <w:rPr>
          <w:rFonts w:asciiTheme="minorEastAsia" w:hAnsiTheme="minorEastAsia"/>
          <w:sz w:val="32"/>
          <w:szCs w:val="32"/>
        </w:rPr>
      </w:pPr>
      <w:r>
        <w:rPr>
          <w:rFonts w:asciiTheme="minorEastAsia" w:hAnsiTheme="minorEastAsia" w:hint="eastAsia"/>
          <w:sz w:val="32"/>
          <w:szCs w:val="32"/>
        </w:rPr>
        <w:t>校园占地面积：</w:t>
      </w:r>
      <w:r w:rsidR="00463060" w:rsidRPr="00463060">
        <w:rPr>
          <w:rFonts w:asciiTheme="minorEastAsia" w:hAnsiTheme="minorEastAsia"/>
          <w:sz w:val="32"/>
          <w:szCs w:val="32"/>
        </w:rPr>
        <w:t>23533.098</w:t>
      </w:r>
      <w:r>
        <w:rPr>
          <w:rFonts w:asciiTheme="minorEastAsia" w:hAnsiTheme="minorEastAsia" w:hint="eastAsia"/>
          <w:sz w:val="32"/>
          <w:szCs w:val="32"/>
        </w:rPr>
        <w:t>平方米</w:t>
      </w:r>
      <w:r w:rsidR="00463060">
        <w:rPr>
          <w:rFonts w:asciiTheme="minorEastAsia" w:hAnsiTheme="minorEastAsia" w:hint="eastAsia"/>
          <w:sz w:val="32"/>
          <w:szCs w:val="32"/>
        </w:rPr>
        <w:t>，</w:t>
      </w:r>
      <w:r>
        <w:rPr>
          <w:rFonts w:asciiTheme="minorEastAsia" w:hAnsiTheme="minorEastAsia" w:hint="eastAsia"/>
          <w:sz w:val="32"/>
          <w:szCs w:val="32"/>
        </w:rPr>
        <w:t>建筑面积：</w:t>
      </w:r>
      <w:r w:rsidR="00991A00">
        <w:rPr>
          <w:rFonts w:asciiTheme="minorEastAsia" w:hAnsiTheme="minorEastAsia"/>
          <w:sz w:val="32"/>
          <w:szCs w:val="32"/>
        </w:rPr>
        <w:t>29543</w:t>
      </w:r>
      <w:r>
        <w:rPr>
          <w:rFonts w:asciiTheme="minorEastAsia" w:hAnsiTheme="minorEastAsia"/>
          <w:sz w:val="32"/>
          <w:szCs w:val="32"/>
        </w:rPr>
        <w:t>.6</w:t>
      </w:r>
      <w:r>
        <w:rPr>
          <w:rFonts w:asciiTheme="minorEastAsia" w:hAnsiTheme="minorEastAsia" w:hint="eastAsia"/>
          <w:sz w:val="32"/>
          <w:szCs w:val="32"/>
        </w:rPr>
        <w:t>平</w:t>
      </w:r>
      <w:r>
        <w:rPr>
          <w:rFonts w:asciiTheme="minorEastAsia" w:hAnsiTheme="minorEastAsia" w:hint="eastAsia"/>
          <w:sz w:val="32"/>
          <w:szCs w:val="32"/>
        </w:rPr>
        <w:lastRenderedPageBreak/>
        <w:t>方米</w:t>
      </w:r>
    </w:p>
    <w:p w:rsidR="009A0AC3" w:rsidRDefault="004F2BBB">
      <w:pPr>
        <w:spacing w:line="560" w:lineRule="exact"/>
        <w:ind w:firstLineChars="183" w:firstLine="586"/>
        <w:rPr>
          <w:rFonts w:asciiTheme="minorEastAsia" w:hAnsiTheme="minorEastAsia"/>
          <w:sz w:val="32"/>
          <w:szCs w:val="32"/>
        </w:rPr>
      </w:pPr>
      <w:r>
        <w:rPr>
          <w:rFonts w:asciiTheme="minorEastAsia" w:hAnsiTheme="minorEastAsia" w:hint="eastAsia"/>
          <w:sz w:val="32"/>
          <w:szCs w:val="32"/>
        </w:rPr>
        <w:t xml:space="preserve">资产总值: </w:t>
      </w:r>
      <w:r>
        <w:rPr>
          <w:rFonts w:asciiTheme="minorEastAsia" w:hAnsiTheme="minorEastAsia"/>
          <w:sz w:val="32"/>
          <w:szCs w:val="32"/>
        </w:rPr>
        <w:t>5772.896</w:t>
      </w:r>
      <w:r>
        <w:rPr>
          <w:rFonts w:asciiTheme="minorEastAsia" w:hAnsiTheme="minorEastAsia" w:hint="eastAsia"/>
          <w:sz w:val="32"/>
          <w:szCs w:val="32"/>
        </w:rPr>
        <w:t>万元</w:t>
      </w:r>
    </w:p>
    <w:p w:rsidR="009A0AC3" w:rsidRDefault="004F2BBB">
      <w:pPr>
        <w:pStyle w:val="2"/>
        <w:spacing w:before="0" w:after="0" w:line="560" w:lineRule="exact"/>
        <w:ind w:firstLineChars="183" w:firstLine="586"/>
        <w:rPr>
          <w:rFonts w:asciiTheme="minorEastAsia" w:eastAsiaTheme="minorEastAsia" w:hAnsiTheme="minorEastAsia" w:cstheme="minorBidi"/>
          <w:b w:val="0"/>
          <w:kern w:val="44"/>
        </w:rPr>
      </w:pPr>
      <w:bookmarkStart w:id="4" w:name="_Toc504330223"/>
      <w:bookmarkStart w:id="5" w:name="_Toc504331423"/>
      <w:r>
        <w:rPr>
          <w:rFonts w:asciiTheme="minorEastAsia" w:eastAsiaTheme="minorEastAsia" w:hAnsiTheme="minorEastAsia" w:cstheme="minorBidi" w:hint="eastAsia"/>
          <w:b w:val="0"/>
          <w:kern w:val="44"/>
        </w:rPr>
        <w:t>1.2学生情况</w:t>
      </w:r>
      <w:bookmarkEnd w:id="4"/>
      <w:bookmarkEnd w:id="5"/>
    </w:p>
    <w:p w:rsidR="009A0AC3" w:rsidRDefault="004F2BBB">
      <w:pPr>
        <w:spacing w:line="560" w:lineRule="exact"/>
        <w:ind w:firstLineChars="200" w:firstLine="360"/>
        <w:rPr>
          <w:rFonts w:asciiTheme="minorEastAsia" w:hAnsiTheme="minorEastAsia" w:cs="Times New Roman"/>
          <w:sz w:val="32"/>
          <w:szCs w:val="32"/>
        </w:rPr>
      </w:pPr>
      <w:r>
        <w:rPr>
          <w:rFonts w:asciiTheme="minorEastAsia" w:hAnsiTheme="minorEastAsia" w:cs="Times New Roman" w:hint="eastAsia"/>
          <w:noProof/>
          <w:sz w:val="18"/>
          <w:szCs w:val="18"/>
        </w:rPr>
        <w:drawing>
          <wp:anchor distT="0" distB="0" distL="114300" distR="114300" simplePos="0" relativeHeight="251671552" behindDoc="0" locked="0" layoutInCell="1" allowOverlap="1">
            <wp:simplePos x="0" y="0"/>
            <wp:positionH relativeFrom="column">
              <wp:posOffset>295275</wp:posOffset>
            </wp:positionH>
            <wp:positionV relativeFrom="paragraph">
              <wp:posOffset>1953895</wp:posOffset>
            </wp:positionV>
            <wp:extent cx="3903980" cy="1701165"/>
            <wp:effectExtent l="0" t="0" r="20320" b="13335"/>
            <wp:wrapTopAndBottom/>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Theme="minorEastAsia" w:hAnsiTheme="minorEastAsia" w:cs="Times New Roman" w:hint="eastAsia"/>
          <w:sz w:val="32"/>
          <w:szCs w:val="32"/>
        </w:rPr>
        <w:t>招生规模：学校主要面向钦州市及防城港市、北海市等地市招生，2016年全日制录取1257人，男生496人，女生761人；2017年全日制录取1411人，男生498人，女生913人，连续两年超额完成自治教育厅下达的招生任务，生源数量及质量较上年度略有提高。</w:t>
      </w:r>
    </w:p>
    <w:p w:rsidR="009A0AC3" w:rsidRDefault="004F2BBB">
      <w:pPr>
        <w:spacing w:line="560" w:lineRule="exact"/>
        <w:ind w:firstLineChars="200" w:firstLine="480"/>
        <w:rPr>
          <w:rFonts w:asciiTheme="minorEastAsia" w:hAnsiTheme="minorEastAsia" w:cs="Times New Roman"/>
          <w:sz w:val="18"/>
          <w:szCs w:val="18"/>
        </w:rPr>
      </w:pPr>
      <w:r>
        <w:rPr>
          <w:rFonts w:asciiTheme="minorEastAsia" w:hAnsiTheme="minorEastAsia" w:cs="Times New Roman" w:hint="eastAsia"/>
          <w:noProof/>
          <w:sz w:val="24"/>
          <w:szCs w:val="24"/>
        </w:rPr>
        <w:drawing>
          <wp:anchor distT="0" distB="0" distL="114300" distR="114300" simplePos="0" relativeHeight="251670528" behindDoc="0" locked="0" layoutInCell="1" allowOverlap="1">
            <wp:simplePos x="0" y="0"/>
            <wp:positionH relativeFrom="column">
              <wp:posOffset>295275</wp:posOffset>
            </wp:positionH>
            <wp:positionV relativeFrom="paragraph">
              <wp:posOffset>2553335</wp:posOffset>
            </wp:positionV>
            <wp:extent cx="4619625" cy="2909570"/>
            <wp:effectExtent l="0" t="0" r="9525" b="24130"/>
            <wp:wrapTopAndBottom/>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Theme="minorEastAsia" w:hAnsiTheme="minorEastAsia" w:cs="Times New Roman" w:hint="eastAsia"/>
          <w:sz w:val="24"/>
          <w:szCs w:val="24"/>
        </w:rPr>
        <w:t>图表1：2016、2017年招生报到情况</w:t>
      </w:r>
    </w:p>
    <w:p w:rsidR="009A0AC3" w:rsidRDefault="004F2BBB">
      <w:pPr>
        <w:spacing w:line="56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lastRenderedPageBreak/>
        <w:t>图表2：招生地区人数分布图</w:t>
      </w:r>
    </w:p>
    <w:p w:rsidR="009A0AC3" w:rsidRDefault="004F2BBB">
      <w:pPr>
        <w:spacing w:line="560" w:lineRule="exact"/>
        <w:ind w:firstLineChars="200" w:firstLine="640"/>
        <w:rPr>
          <w:rFonts w:asciiTheme="minorEastAsia" w:hAnsiTheme="minorEastAsia"/>
          <w:color w:val="FF0000"/>
          <w:sz w:val="32"/>
          <w:szCs w:val="32"/>
        </w:rPr>
      </w:pPr>
      <w:r>
        <w:rPr>
          <w:rFonts w:asciiTheme="minorEastAsia" w:hAnsiTheme="minorEastAsia" w:hint="eastAsia"/>
          <w:color w:val="000000" w:themeColor="text1"/>
          <w:sz w:val="32"/>
          <w:szCs w:val="32"/>
        </w:rPr>
        <w:t>在校生规模：目前学校学生人数</w:t>
      </w:r>
      <w:r w:rsidR="002B3AB0">
        <w:rPr>
          <w:rFonts w:asciiTheme="minorEastAsia" w:hAnsiTheme="minorEastAsia"/>
          <w:color w:val="000000" w:themeColor="text1"/>
          <w:sz w:val="32"/>
          <w:szCs w:val="32"/>
        </w:rPr>
        <w:t>3327</w:t>
      </w:r>
      <w:r>
        <w:rPr>
          <w:rFonts w:asciiTheme="minorEastAsia" w:hAnsiTheme="minorEastAsia" w:hint="eastAsia"/>
          <w:color w:val="000000" w:themeColor="text1"/>
          <w:sz w:val="32"/>
          <w:szCs w:val="32"/>
        </w:rPr>
        <w:t>人，学校开设会计、计算机应用、学前教育、计算机网络技术、计算机与数码产品维修、电子商务、物流服务与管理、美术设计与制作、市场营销等9个专业，其中自治区示范性专业2个</w:t>
      </w:r>
      <w:r>
        <w:rPr>
          <w:rFonts w:asciiTheme="minorEastAsia" w:hAnsiTheme="minorEastAsia" w:hint="eastAsia"/>
          <w:sz w:val="32"/>
          <w:szCs w:val="32"/>
        </w:rPr>
        <w:t>。</w:t>
      </w:r>
    </w:p>
    <w:p w:rsidR="009A0AC3" w:rsidRDefault="004F2BBB">
      <w:pPr>
        <w:spacing w:line="560" w:lineRule="exact"/>
        <w:ind w:firstLineChars="200" w:firstLine="480"/>
        <w:rPr>
          <w:rFonts w:asciiTheme="minorEastAsia" w:hAnsiTheme="minorEastAsia" w:cs="Times New Roman"/>
          <w:sz w:val="18"/>
          <w:szCs w:val="18"/>
        </w:rPr>
      </w:pPr>
      <w:r>
        <w:rPr>
          <w:rFonts w:asciiTheme="minorEastAsia" w:hAnsiTheme="minorEastAsia" w:hint="eastAsia"/>
          <w:noProof/>
          <w:color w:val="FF0000"/>
          <w:sz w:val="24"/>
          <w:szCs w:val="24"/>
        </w:rPr>
        <w:drawing>
          <wp:anchor distT="0" distB="0" distL="114300" distR="114300" simplePos="0" relativeHeight="251672576" behindDoc="0" locked="0" layoutInCell="1" allowOverlap="1">
            <wp:simplePos x="0" y="0"/>
            <wp:positionH relativeFrom="column">
              <wp:posOffset>222250</wp:posOffset>
            </wp:positionH>
            <wp:positionV relativeFrom="paragraph">
              <wp:posOffset>227965</wp:posOffset>
            </wp:positionV>
            <wp:extent cx="4961255" cy="2814320"/>
            <wp:effectExtent l="0" t="0" r="10795" b="24130"/>
            <wp:wrapTopAndBottom/>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asciiTheme="minorEastAsia" w:hAnsiTheme="minorEastAsia" w:cs="Times New Roman" w:hint="eastAsia"/>
          <w:sz w:val="24"/>
          <w:szCs w:val="24"/>
        </w:rPr>
        <w:t>图表3：专业招生情况</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学生巩固率：2016年度，学生巩固率达92.2%，2017年度，学生巩固率达97.76%，比上年度提高5.56个百分点。</w:t>
      </w:r>
    </w:p>
    <w:p w:rsidR="009A0AC3" w:rsidRDefault="004F2BBB">
      <w:pPr>
        <w:pStyle w:val="2"/>
        <w:spacing w:before="0" w:after="0" w:line="560" w:lineRule="exact"/>
        <w:ind w:firstLineChars="233" w:firstLine="746"/>
        <w:rPr>
          <w:rFonts w:asciiTheme="minorEastAsia" w:eastAsiaTheme="minorEastAsia" w:hAnsiTheme="minorEastAsia" w:cstheme="minorBidi"/>
          <w:b w:val="0"/>
          <w:kern w:val="44"/>
        </w:rPr>
      </w:pPr>
      <w:bookmarkStart w:id="6" w:name="_Toc504331424"/>
      <w:bookmarkStart w:id="7" w:name="_Toc504330224"/>
      <w:r>
        <w:rPr>
          <w:rFonts w:asciiTheme="minorEastAsia" w:eastAsiaTheme="minorEastAsia" w:hAnsiTheme="minorEastAsia" w:cstheme="minorBidi" w:hint="eastAsia"/>
          <w:b w:val="0"/>
          <w:kern w:val="44"/>
        </w:rPr>
        <w:t>1.3教师队伍</w:t>
      </w:r>
      <w:bookmarkEnd w:id="6"/>
      <w:bookmarkEnd w:id="7"/>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生师比：学校教职工</w:t>
      </w:r>
      <w:r>
        <w:rPr>
          <w:rFonts w:asciiTheme="minorEastAsia" w:hAnsiTheme="minorEastAsia"/>
          <w:sz w:val="32"/>
          <w:szCs w:val="32"/>
        </w:rPr>
        <w:t>159</w:t>
      </w:r>
      <w:r>
        <w:rPr>
          <w:rFonts w:asciiTheme="minorEastAsia" w:hAnsiTheme="minorEastAsia" w:hint="eastAsia"/>
          <w:sz w:val="32"/>
          <w:szCs w:val="32"/>
        </w:rPr>
        <w:t>人，专任教师</w:t>
      </w:r>
      <w:r>
        <w:rPr>
          <w:rFonts w:asciiTheme="minorEastAsia" w:hAnsiTheme="minorEastAsia"/>
          <w:sz w:val="32"/>
          <w:szCs w:val="32"/>
        </w:rPr>
        <w:t>114</w:t>
      </w:r>
      <w:r>
        <w:rPr>
          <w:rFonts w:asciiTheme="minorEastAsia" w:hAnsiTheme="minorEastAsia" w:hint="eastAsia"/>
          <w:sz w:val="32"/>
          <w:szCs w:val="32"/>
        </w:rPr>
        <w:t>人，全日制学生</w:t>
      </w:r>
      <w:r>
        <w:rPr>
          <w:rFonts w:asciiTheme="minorEastAsia" w:hAnsiTheme="minorEastAsia"/>
          <w:sz w:val="32"/>
          <w:szCs w:val="32"/>
        </w:rPr>
        <w:t>33</w:t>
      </w:r>
      <w:r w:rsidR="002B3AB0">
        <w:rPr>
          <w:rFonts w:asciiTheme="minorEastAsia" w:hAnsiTheme="minorEastAsia" w:hint="eastAsia"/>
          <w:sz w:val="32"/>
          <w:szCs w:val="32"/>
        </w:rPr>
        <w:t>27</w:t>
      </w:r>
      <w:r>
        <w:rPr>
          <w:rFonts w:asciiTheme="minorEastAsia" w:hAnsiTheme="minorEastAsia" w:hint="eastAsia"/>
          <w:sz w:val="32"/>
          <w:szCs w:val="32"/>
        </w:rPr>
        <w:t>（含第</w:t>
      </w:r>
      <w:r>
        <w:rPr>
          <w:rFonts w:asciiTheme="minorEastAsia" w:hAnsiTheme="minorEastAsia"/>
          <w:sz w:val="32"/>
          <w:szCs w:val="32"/>
        </w:rPr>
        <w:t>三年顶岗</w:t>
      </w:r>
      <w:r>
        <w:rPr>
          <w:rFonts w:asciiTheme="minorEastAsia" w:hAnsiTheme="minorEastAsia" w:hint="eastAsia"/>
          <w:sz w:val="32"/>
          <w:szCs w:val="32"/>
        </w:rPr>
        <w:t>实习</w:t>
      </w:r>
      <w:r>
        <w:rPr>
          <w:rFonts w:asciiTheme="minorEastAsia" w:hAnsiTheme="minorEastAsia"/>
          <w:sz w:val="32"/>
          <w:szCs w:val="32"/>
        </w:rPr>
        <w:t>学生</w:t>
      </w:r>
      <w:r>
        <w:rPr>
          <w:rFonts w:asciiTheme="minorEastAsia" w:hAnsiTheme="minorEastAsia" w:hint="eastAsia"/>
          <w:sz w:val="32"/>
          <w:szCs w:val="32"/>
        </w:rPr>
        <w:t>），师生比（不含第三年顶岗实习学生）1：18。</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双师型教师比例：201</w:t>
      </w:r>
      <w:r>
        <w:rPr>
          <w:rFonts w:asciiTheme="minorEastAsia" w:hAnsiTheme="minorEastAsia"/>
          <w:sz w:val="32"/>
          <w:szCs w:val="32"/>
        </w:rPr>
        <w:t>7</w:t>
      </w:r>
      <w:r>
        <w:rPr>
          <w:rFonts w:asciiTheme="minorEastAsia" w:hAnsiTheme="minorEastAsia" w:hint="eastAsia"/>
          <w:sz w:val="32"/>
          <w:szCs w:val="32"/>
        </w:rPr>
        <w:t>年度，双师型教师</w:t>
      </w:r>
      <w:r>
        <w:rPr>
          <w:rFonts w:asciiTheme="minorEastAsia" w:hAnsiTheme="minorEastAsia"/>
          <w:sz w:val="32"/>
          <w:szCs w:val="32"/>
        </w:rPr>
        <w:t>35</w:t>
      </w:r>
      <w:r>
        <w:rPr>
          <w:rFonts w:asciiTheme="minorEastAsia" w:hAnsiTheme="minorEastAsia" w:hint="eastAsia"/>
          <w:sz w:val="32"/>
          <w:szCs w:val="32"/>
        </w:rPr>
        <w:t>人，占专任教师的</w:t>
      </w:r>
      <w:r>
        <w:rPr>
          <w:rFonts w:asciiTheme="minorEastAsia" w:hAnsiTheme="minorEastAsia"/>
          <w:sz w:val="32"/>
          <w:szCs w:val="32"/>
        </w:rPr>
        <w:t>3</w:t>
      </w:r>
      <w:r>
        <w:rPr>
          <w:rFonts w:asciiTheme="minorEastAsia" w:hAnsiTheme="minorEastAsia" w:hint="eastAsia"/>
          <w:sz w:val="32"/>
          <w:szCs w:val="32"/>
        </w:rPr>
        <w:t>1%。</w:t>
      </w:r>
    </w:p>
    <w:p w:rsidR="009A0AC3" w:rsidRDefault="004F2BBB">
      <w:pPr>
        <w:spacing w:line="580" w:lineRule="exact"/>
        <w:ind w:firstLineChars="200" w:firstLine="640"/>
        <w:rPr>
          <w:rFonts w:asciiTheme="minorEastAsia" w:hAnsiTheme="minorEastAsia"/>
          <w:sz w:val="32"/>
          <w:szCs w:val="32"/>
        </w:rPr>
      </w:pPr>
      <w:r>
        <w:rPr>
          <w:rFonts w:asciiTheme="minorEastAsia" w:hAnsiTheme="minorEastAsia" w:hint="eastAsia"/>
          <w:sz w:val="32"/>
          <w:szCs w:val="32"/>
        </w:rPr>
        <w:t>兼职教师比例：2017年度，学校根据专业</w:t>
      </w:r>
      <w:r>
        <w:rPr>
          <w:rFonts w:asciiTheme="minorEastAsia" w:hAnsiTheme="minorEastAsia"/>
          <w:sz w:val="32"/>
          <w:szCs w:val="32"/>
        </w:rPr>
        <w:t>人才培养规划及</w:t>
      </w:r>
      <w:r>
        <w:rPr>
          <w:rFonts w:asciiTheme="minorEastAsia" w:hAnsiTheme="minorEastAsia"/>
          <w:sz w:val="32"/>
          <w:szCs w:val="32"/>
        </w:rPr>
        <w:lastRenderedPageBreak/>
        <w:t>行业发展方向</w:t>
      </w:r>
      <w:r>
        <w:rPr>
          <w:rFonts w:asciiTheme="minorEastAsia" w:hAnsiTheme="minorEastAsia" w:hint="eastAsia"/>
          <w:sz w:val="32"/>
          <w:szCs w:val="32"/>
        </w:rPr>
        <w:t>，从行业企业特聘兼职教师6人，其他兼职教师1</w:t>
      </w:r>
      <w:r w:rsidR="00B62591">
        <w:rPr>
          <w:rFonts w:asciiTheme="minorEastAsia" w:hAnsiTheme="minorEastAsia" w:hint="eastAsia"/>
          <w:sz w:val="32"/>
          <w:szCs w:val="32"/>
        </w:rPr>
        <w:t>4</w:t>
      </w:r>
      <w:r>
        <w:rPr>
          <w:rFonts w:asciiTheme="minorEastAsia" w:hAnsiTheme="minorEastAsia" w:hint="eastAsia"/>
          <w:sz w:val="32"/>
          <w:szCs w:val="32"/>
        </w:rPr>
        <w:t>人，占专任教师的</w:t>
      </w:r>
      <w:r w:rsidR="00B62591">
        <w:rPr>
          <w:rFonts w:asciiTheme="minorEastAsia" w:hAnsiTheme="minorEastAsia" w:hint="eastAsia"/>
          <w:sz w:val="32"/>
          <w:szCs w:val="32"/>
        </w:rPr>
        <w:t>17</w:t>
      </w:r>
      <w:r>
        <w:rPr>
          <w:rFonts w:asciiTheme="minorEastAsia" w:hAnsiTheme="minorEastAsia" w:hint="eastAsia"/>
          <w:sz w:val="32"/>
          <w:szCs w:val="32"/>
        </w:rPr>
        <w:t>%。</w:t>
      </w:r>
    </w:p>
    <w:p w:rsidR="009A0AC3" w:rsidRDefault="004F2BBB">
      <w:pPr>
        <w:spacing w:line="580" w:lineRule="exact"/>
        <w:ind w:firstLineChars="200" w:firstLine="640"/>
        <w:rPr>
          <w:rFonts w:asciiTheme="minorEastAsia" w:hAnsiTheme="minorEastAsia"/>
          <w:sz w:val="32"/>
          <w:szCs w:val="32"/>
        </w:rPr>
      </w:pPr>
      <w:r>
        <w:rPr>
          <w:rFonts w:asciiTheme="minorEastAsia" w:hAnsiTheme="minorEastAsia" w:hint="eastAsia"/>
          <w:sz w:val="32"/>
          <w:szCs w:val="32"/>
        </w:rPr>
        <w:t>专任教师学历及职称比例：201</w:t>
      </w:r>
      <w:r>
        <w:rPr>
          <w:rFonts w:asciiTheme="minorEastAsia" w:hAnsiTheme="minorEastAsia"/>
          <w:sz w:val="32"/>
          <w:szCs w:val="32"/>
        </w:rPr>
        <w:t>7</w:t>
      </w:r>
      <w:r>
        <w:rPr>
          <w:rFonts w:asciiTheme="minorEastAsia" w:hAnsiTheme="minorEastAsia" w:hint="eastAsia"/>
          <w:sz w:val="32"/>
          <w:szCs w:val="32"/>
        </w:rPr>
        <w:t>年度，学校共聘</w:t>
      </w:r>
      <w:r>
        <w:rPr>
          <w:rFonts w:asciiTheme="minorEastAsia" w:hAnsiTheme="minorEastAsia"/>
          <w:sz w:val="32"/>
          <w:szCs w:val="32"/>
        </w:rPr>
        <w:t>114</w:t>
      </w:r>
      <w:r>
        <w:rPr>
          <w:rFonts w:asciiTheme="minorEastAsia" w:hAnsiTheme="minorEastAsia" w:hint="eastAsia"/>
          <w:sz w:val="32"/>
          <w:szCs w:val="32"/>
        </w:rPr>
        <w:t>名专任教师，</w:t>
      </w:r>
      <w:r>
        <w:rPr>
          <w:rFonts w:asciiTheme="minorEastAsia" w:hAnsiTheme="minorEastAsia"/>
          <w:sz w:val="32"/>
          <w:szCs w:val="32"/>
        </w:rPr>
        <w:t>100</w:t>
      </w:r>
      <w:r>
        <w:rPr>
          <w:rFonts w:asciiTheme="minorEastAsia" w:hAnsiTheme="minorEastAsia" w:hint="eastAsia"/>
          <w:sz w:val="32"/>
          <w:szCs w:val="32"/>
        </w:rPr>
        <w:t>%为本科以</w:t>
      </w:r>
      <w:r>
        <w:rPr>
          <w:rFonts w:asciiTheme="minorEastAsia" w:hAnsiTheme="minorEastAsia"/>
          <w:sz w:val="32"/>
          <w:szCs w:val="32"/>
        </w:rPr>
        <w:t>上</w:t>
      </w:r>
      <w:r>
        <w:rPr>
          <w:rFonts w:asciiTheme="minorEastAsia" w:hAnsiTheme="minorEastAsia" w:hint="eastAsia"/>
          <w:sz w:val="32"/>
          <w:szCs w:val="32"/>
        </w:rPr>
        <w:t>学历，具有研究生学历教师5人，占全体教职工数的</w:t>
      </w:r>
      <w:r>
        <w:rPr>
          <w:rFonts w:asciiTheme="minorEastAsia" w:hAnsiTheme="minorEastAsia"/>
          <w:sz w:val="32"/>
          <w:szCs w:val="32"/>
        </w:rPr>
        <w:t>3.2</w:t>
      </w:r>
      <w:r>
        <w:rPr>
          <w:rFonts w:asciiTheme="minorEastAsia" w:hAnsiTheme="minorEastAsia" w:hint="eastAsia"/>
          <w:sz w:val="32"/>
          <w:szCs w:val="32"/>
        </w:rPr>
        <w:t>%。专任教师中高级职称教师为</w:t>
      </w:r>
      <w:r>
        <w:rPr>
          <w:rFonts w:asciiTheme="minorEastAsia" w:hAnsiTheme="minorEastAsia"/>
          <w:sz w:val="32"/>
          <w:szCs w:val="32"/>
        </w:rPr>
        <w:t>2</w:t>
      </w:r>
      <w:r>
        <w:rPr>
          <w:rFonts w:asciiTheme="minorEastAsia" w:hAnsiTheme="minorEastAsia" w:hint="eastAsia"/>
          <w:sz w:val="32"/>
          <w:szCs w:val="32"/>
        </w:rPr>
        <w:t>6人，占全体教职工数的22.81%。</w:t>
      </w:r>
    </w:p>
    <w:p w:rsidR="009A0AC3" w:rsidRDefault="004F2BBB">
      <w:pPr>
        <w:spacing w:line="580" w:lineRule="exact"/>
        <w:ind w:firstLineChars="200" w:firstLine="640"/>
        <w:rPr>
          <w:rFonts w:asciiTheme="minorEastAsia" w:hAnsiTheme="minorEastAsia"/>
          <w:sz w:val="32"/>
          <w:szCs w:val="32"/>
        </w:rPr>
      </w:pPr>
      <w:r>
        <w:rPr>
          <w:rFonts w:asciiTheme="minorEastAsia" w:hAnsiTheme="minorEastAsia" w:hint="eastAsia"/>
          <w:sz w:val="32"/>
          <w:szCs w:val="32"/>
        </w:rPr>
        <w:t>专业教师结构：201</w:t>
      </w:r>
      <w:r>
        <w:rPr>
          <w:rFonts w:asciiTheme="minorEastAsia" w:hAnsiTheme="minorEastAsia"/>
          <w:sz w:val="32"/>
          <w:szCs w:val="32"/>
        </w:rPr>
        <w:t>7</w:t>
      </w:r>
      <w:r>
        <w:rPr>
          <w:rFonts w:asciiTheme="minorEastAsia" w:hAnsiTheme="minorEastAsia" w:hint="eastAsia"/>
          <w:sz w:val="32"/>
          <w:szCs w:val="32"/>
        </w:rPr>
        <w:t>年度，学校共聘任专业教师</w:t>
      </w:r>
      <w:r>
        <w:rPr>
          <w:rFonts w:asciiTheme="minorEastAsia" w:hAnsiTheme="minorEastAsia"/>
          <w:sz w:val="32"/>
          <w:szCs w:val="32"/>
        </w:rPr>
        <w:t>91</w:t>
      </w:r>
      <w:r>
        <w:rPr>
          <w:rFonts w:asciiTheme="minorEastAsia" w:hAnsiTheme="minorEastAsia" w:hint="eastAsia"/>
          <w:sz w:val="32"/>
          <w:szCs w:val="32"/>
        </w:rPr>
        <w:t>人，具有高级以上职业资格教师</w:t>
      </w:r>
      <w:r>
        <w:rPr>
          <w:rFonts w:asciiTheme="minorEastAsia" w:hAnsiTheme="minorEastAsia"/>
          <w:sz w:val="32"/>
          <w:szCs w:val="32"/>
        </w:rPr>
        <w:t>26</w:t>
      </w:r>
      <w:r>
        <w:rPr>
          <w:rFonts w:asciiTheme="minorEastAsia" w:hAnsiTheme="minorEastAsia" w:hint="eastAsia"/>
          <w:sz w:val="32"/>
          <w:szCs w:val="32"/>
        </w:rPr>
        <w:t>人，占专业教师的</w:t>
      </w:r>
      <w:r>
        <w:rPr>
          <w:rFonts w:asciiTheme="minorEastAsia" w:hAnsiTheme="minorEastAsia"/>
          <w:sz w:val="32"/>
          <w:szCs w:val="32"/>
        </w:rPr>
        <w:t>28</w:t>
      </w:r>
      <w:r>
        <w:rPr>
          <w:rFonts w:asciiTheme="minorEastAsia" w:hAnsiTheme="minorEastAsia" w:hint="eastAsia"/>
          <w:sz w:val="32"/>
          <w:szCs w:val="32"/>
        </w:rPr>
        <w:t>.6%；具有技师职业资格教师</w:t>
      </w:r>
      <w:r>
        <w:rPr>
          <w:rFonts w:asciiTheme="minorEastAsia" w:hAnsiTheme="minorEastAsia"/>
          <w:sz w:val="32"/>
          <w:szCs w:val="32"/>
        </w:rPr>
        <w:t>4</w:t>
      </w:r>
      <w:r>
        <w:rPr>
          <w:rFonts w:asciiTheme="minorEastAsia" w:hAnsiTheme="minorEastAsia" w:hint="eastAsia"/>
          <w:sz w:val="32"/>
          <w:szCs w:val="32"/>
        </w:rPr>
        <w:t>人，占专业教师的</w:t>
      </w:r>
      <w:r>
        <w:rPr>
          <w:rFonts w:asciiTheme="minorEastAsia" w:hAnsiTheme="minorEastAsia"/>
          <w:sz w:val="32"/>
          <w:szCs w:val="32"/>
        </w:rPr>
        <w:t>5</w:t>
      </w:r>
      <w:r>
        <w:rPr>
          <w:rFonts w:asciiTheme="minorEastAsia" w:hAnsiTheme="minorEastAsia" w:hint="eastAsia"/>
          <w:sz w:val="32"/>
          <w:szCs w:val="32"/>
        </w:rPr>
        <w:t>%。</w:t>
      </w:r>
    </w:p>
    <w:p w:rsidR="009A0AC3" w:rsidRDefault="004F2BBB">
      <w:pPr>
        <w:pStyle w:val="2"/>
        <w:spacing w:before="0" w:after="0" w:line="560" w:lineRule="exact"/>
        <w:ind w:firstLineChars="200" w:firstLine="640"/>
        <w:rPr>
          <w:rFonts w:asciiTheme="minorEastAsia" w:eastAsiaTheme="minorEastAsia" w:hAnsiTheme="minorEastAsia" w:cstheme="minorBidi"/>
          <w:b w:val="0"/>
          <w:kern w:val="44"/>
        </w:rPr>
      </w:pPr>
      <w:bookmarkStart w:id="8" w:name="_Toc504331425"/>
      <w:bookmarkStart w:id="9" w:name="_Toc504330225"/>
      <w:bookmarkStart w:id="10" w:name="_Toc406851358"/>
      <w:r>
        <w:rPr>
          <w:rFonts w:asciiTheme="minorEastAsia" w:eastAsiaTheme="minorEastAsia" w:hAnsiTheme="minorEastAsia" w:cstheme="minorBidi" w:hint="eastAsia"/>
          <w:b w:val="0"/>
          <w:kern w:val="44"/>
        </w:rPr>
        <w:t>1.4设施设备</w:t>
      </w:r>
      <w:bookmarkEnd w:id="8"/>
      <w:bookmarkEnd w:id="9"/>
    </w:p>
    <w:bookmarkEnd w:id="10"/>
    <w:p w:rsidR="009A0AC3" w:rsidRDefault="004F2BBB">
      <w:pPr>
        <w:spacing w:line="580" w:lineRule="exact"/>
        <w:ind w:firstLineChars="200" w:firstLine="640"/>
        <w:rPr>
          <w:rFonts w:asciiTheme="minorEastAsia" w:hAnsiTheme="minorEastAsia"/>
          <w:sz w:val="32"/>
          <w:szCs w:val="32"/>
        </w:rPr>
      </w:pPr>
      <w:r>
        <w:rPr>
          <w:rFonts w:asciiTheme="minorEastAsia" w:hAnsiTheme="minorEastAsia" w:hint="eastAsia"/>
          <w:sz w:val="32"/>
          <w:szCs w:val="32"/>
        </w:rPr>
        <w:t>生均教学仪器设备值：2016年度，学校教学设备总值1203万元，学生2951人，生均设备总值为0.4万元；2017年度，学校教学设备总值达1450万元，学生33</w:t>
      </w:r>
      <w:r w:rsidR="002B3AB0">
        <w:rPr>
          <w:rFonts w:asciiTheme="minorEastAsia" w:hAnsiTheme="minorEastAsia"/>
          <w:sz w:val="32"/>
          <w:szCs w:val="32"/>
        </w:rPr>
        <w:t>27</w:t>
      </w:r>
      <w:r>
        <w:rPr>
          <w:rFonts w:asciiTheme="minorEastAsia" w:hAnsiTheme="minorEastAsia" w:hint="eastAsia"/>
          <w:sz w:val="32"/>
          <w:szCs w:val="32"/>
        </w:rPr>
        <w:t>人，生均设备总值为0.44万元，生均设备总值超自治区规定标准。</w:t>
      </w:r>
    </w:p>
    <w:p w:rsidR="009A0AC3" w:rsidRDefault="004F2BBB">
      <w:pPr>
        <w:spacing w:line="580" w:lineRule="exact"/>
        <w:ind w:firstLineChars="200" w:firstLine="640"/>
        <w:rPr>
          <w:rFonts w:asciiTheme="minorEastAsia" w:hAnsiTheme="minorEastAsia"/>
          <w:sz w:val="32"/>
          <w:szCs w:val="32"/>
        </w:rPr>
      </w:pPr>
      <w:r>
        <w:rPr>
          <w:rFonts w:asciiTheme="minorEastAsia" w:hAnsiTheme="minorEastAsia" w:hint="eastAsia"/>
          <w:sz w:val="32"/>
          <w:szCs w:val="32"/>
        </w:rPr>
        <w:t>生均实训实习工位数：学校现有专业实训室40个，包括校企共建电子商务实训基地1个，电子商务实训室5个，锐捷网络实训室1个，会计实训室7个，综合布线实训室1个，维修维护实训室1个，影视后期制作实训室1个，动画实训室1个，电子电工实训室1个，形体实训室1个，学前教育实训室1个，舞蹈室2个，琴房3个，物流实训室1个，物流实训基地1个，高级办公实训室1个，等其它实训室，共有2013个工位，生均工位数为0.6个。</w:t>
      </w:r>
    </w:p>
    <w:p w:rsidR="009A0AC3" w:rsidRDefault="004F2BBB">
      <w:pPr>
        <w:spacing w:line="580" w:lineRule="exact"/>
        <w:ind w:firstLineChars="200" w:firstLine="640"/>
        <w:rPr>
          <w:rFonts w:asciiTheme="minorEastAsia" w:hAnsiTheme="minorEastAsia"/>
          <w:sz w:val="32"/>
          <w:szCs w:val="32"/>
        </w:rPr>
      </w:pPr>
      <w:r>
        <w:rPr>
          <w:rFonts w:asciiTheme="minorEastAsia" w:hAnsiTheme="minorEastAsia" w:hint="eastAsia"/>
          <w:sz w:val="32"/>
          <w:szCs w:val="32"/>
        </w:rPr>
        <w:t>生均纸质图书：201</w:t>
      </w:r>
      <w:r>
        <w:rPr>
          <w:rFonts w:asciiTheme="minorEastAsia" w:hAnsiTheme="minorEastAsia"/>
          <w:sz w:val="32"/>
          <w:szCs w:val="32"/>
        </w:rPr>
        <w:t>7</w:t>
      </w:r>
      <w:r>
        <w:rPr>
          <w:rFonts w:asciiTheme="minorEastAsia" w:hAnsiTheme="minorEastAsia" w:hint="eastAsia"/>
          <w:sz w:val="32"/>
          <w:szCs w:val="32"/>
        </w:rPr>
        <w:t>年度，学校共有图书</w:t>
      </w:r>
      <w:r>
        <w:rPr>
          <w:rFonts w:asciiTheme="minorEastAsia" w:hAnsiTheme="minorEastAsia"/>
          <w:sz w:val="32"/>
          <w:szCs w:val="32"/>
        </w:rPr>
        <w:t>102559</w:t>
      </w:r>
      <w:r>
        <w:rPr>
          <w:rFonts w:asciiTheme="minorEastAsia" w:hAnsiTheme="minorEastAsia" w:hint="eastAsia"/>
          <w:sz w:val="32"/>
          <w:szCs w:val="32"/>
        </w:rPr>
        <w:t>册，生均</w:t>
      </w:r>
      <w:r>
        <w:rPr>
          <w:rFonts w:asciiTheme="minorEastAsia" w:hAnsiTheme="minorEastAsia" w:hint="eastAsia"/>
          <w:sz w:val="32"/>
          <w:szCs w:val="32"/>
        </w:rPr>
        <w:lastRenderedPageBreak/>
        <w:t>30.83册。本年度学校根据各个专业教师和学生的需求共订杂志112种,能够满足师生借阅需求。</w:t>
      </w:r>
    </w:p>
    <w:p w:rsidR="009A0AC3" w:rsidRDefault="004F2BBB">
      <w:pPr>
        <w:pStyle w:val="1"/>
        <w:spacing w:before="0" w:after="0" w:line="560" w:lineRule="exact"/>
        <w:ind w:firstLineChars="233" w:firstLine="746"/>
        <w:rPr>
          <w:rFonts w:asciiTheme="minorEastAsia" w:hAnsiTheme="minorEastAsia"/>
          <w:b w:val="0"/>
          <w:sz w:val="32"/>
          <w:szCs w:val="32"/>
        </w:rPr>
      </w:pPr>
      <w:bookmarkStart w:id="11" w:name="_Toc504331426"/>
      <w:bookmarkStart w:id="12" w:name="_Toc504330226"/>
      <w:r>
        <w:rPr>
          <w:rFonts w:asciiTheme="minorEastAsia" w:hAnsiTheme="minorEastAsia" w:hint="eastAsia"/>
          <w:b w:val="0"/>
          <w:sz w:val="32"/>
          <w:szCs w:val="32"/>
        </w:rPr>
        <w:t>2.学生发展</w:t>
      </w:r>
      <w:bookmarkEnd w:id="11"/>
      <w:bookmarkEnd w:id="12"/>
    </w:p>
    <w:p w:rsidR="009A0AC3" w:rsidRDefault="004F2BBB">
      <w:pPr>
        <w:pStyle w:val="2"/>
        <w:spacing w:before="0" w:after="0" w:line="560" w:lineRule="exact"/>
        <w:ind w:firstLineChars="233" w:firstLine="746"/>
        <w:rPr>
          <w:rFonts w:asciiTheme="minorEastAsia" w:eastAsiaTheme="minorEastAsia" w:hAnsiTheme="minorEastAsia" w:cstheme="minorBidi"/>
          <w:b w:val="0"/>
          <w:kern w:val="44"/>
        </w:rPr>
      </w:pPr>
      <w:bookmarkStart w:id="13" w:name="_Toc504330227"/>
      <w:bookmarkStart w:id="14" w:name="_Toc504331427"/>
      <w:r>
        <w:rPr>
          <w:rFonts w:asciiTheme="minorEastAsia" w:eastAsiaTheme="minorEastAsia" w:hAnsiTheme="minorEastAsia" w:cstheme="minorBidi" w:hint="eastAsia"/>
          <w:b w:val="0"/>
          <w:kern w:val="44"/>
        </w:rPr>
        <w:t>2.1学生素质</w:t>
      </w:r>
      <w:bookmarkEnd w:id="13"/>
      <w:bookmarkEnd w:id="14"/>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思想政治状况：学校以社会主义核心价值观教育为引领，通过组织开展“弘扬道德精神争做文明先锋”、“了解历史，传承弘扬民族优秀文化”、“聆听道德故事接受道德洗礼”等系列主题教育活动，促进学生道德素养、职业素养、人文素养的全面提升，培养具有良好思想政治觉悟、高尚职业道德的技能型人才，学校“明德树人，强技立业”德育品牌内涵得到不断丰富。 2017年度，推荐评选2017年自治区人民政府中等职业教育奖学金获奖59人，校级三好学生76名、优秀班干部35名。</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文化课合格率：2017年度，文化课合格率98%。</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专业技能合格率：2017年度春季学期，专业技能合格率达93.7%； 2017年度秋季学期，专业技能合格率达95.3%，。2017年度，学校组织1120名学生参加了国家职业资格鉴定，考试通过率最高达到81%，其他的考证通过率也达到了67%，较上年度有较大幅度提升。</w:t>
      </w:r>
    </w:p>
    <w:p w:rsidR="009A0AC3" w:rsidRDefault="004F2BBB">
      <w:pPr>
        <w:spacing w:line="560" w:lineRule="exact"/>
        <w:ind w:firstLineChars="200" w:firstLine="640"/>
        <w:rPr>
          <w:rFonts w:asciiTheme="minorEastAsia" w:hAnsiTheme="minorEastAsia"/>
          <w:color w:val="000000" w:themeColor="text1"/>
          <w:sz w:val="32"/>
          <w:szCs w:val="32"/>
        </w:rPr>
      </w:pPr>
      <w:r>
        <w:rPr>
          <w:rFonts w:asciiTheme="minorEastAsia" w:hAnsiTheme="minorEastAsia" w:hint="eastAsia"/>
          <w:sz w:val="32"/>
          <w:szCs w:val="32"/>
        </w:rPr>
        <w:t>体质测试合格率：根据《国家学生体质健康标准》，我校积极开展体质测试活动，将体质测试内容纳入平日体育课及体育活动中，有针对性的制定了锻炼标准及方法，使体质测试常态化，促进学生形成积极锻炼，科学锻炼的意识。</w:t>
      </w:r>
      <w:r>
        <w:rPr>
          <w:rFonts w:asciiTheme="minorEastAsia" w:hAnsiTheme="minorEastAsia" w:hint="eastAsia"/>
          <w:color w:val="000000" w:themeColor="text1"/>
          <w:sz w:val="32"/>
          <w:szCs w:val="32"/>
        </w:rPr>
        <w:t>2017年度，2015级、2016级、2017级共3784名学生参加体质测试，优秀率2.93%，良好率30.26%，合格率97.52%。</w:t>
      </w:r>
    </w:p>
    <w:p w:rsidR="009A0AC3" w:rsidRDefault="004F2BBB">
      <w:pPr>
        <w:spacing w:line="560" w:lineRule="exact"/>
        <w:ind w:firstLineChars="200" w:firstLine="640"/>
        <w:rPr>
          <w:rFonts w:asciiTheme="minorEastAsia" w:hAnsiTheme="minorEastAsia"/>
          <w:color w:val="000000" w:themeColor="text1"/>
          <w:sz w:val="32"/>
          <w:szCs w:val="32"/>
        </w:rPr>
      </w:pPr>
      <w:r>
        <w:rPr>
          <w:rFonts w:asciiTheme="minorEastAsia" w:hAnsiTheme="minorEastAsia" w:hint="eastAsia"/>
          <w:color w:val="000000" w:themeColor="text1"/>
          <w:sz w:val="32"/>
          <w:szCs w:val="32"/>
        </w:rPr>
        <w:lastRenderedPageBreak/>
        <w:t>毕业率：2017届毕业生804人，中途转学或辍学310人</w:t>
      </w:r>
      <w:r>
        <w:rPr>
          <w:rFonts w:asciiTheme="minorEastAsia" w:hAnsiTheme="minorEastAsia" w:hint="eastAsia"/>
          <w:color w:val="FF0000"/>
          <w:sz w:val="32"/>
          <w:szCs w:val="32"/>
        </w:rPr>
        <w:t>，</w:t>
      </w:r>
      <w:r>
        <w:rPr>
          <w:rFonts w:asciiTheme="minorEastAsia" w:hAnsiTheme="minorEastAsia" w:hint="eastAsia"/>
          <w:color w:val="000000" w:themeColor="text1"/>
          <w:sz w:val="32"/>
          <w:szCs w:val="32"/>
        </w:rPr>
        <w:t>毕业率72.17%，比上年度提升6.09%。</w:t>
      </w:r>
    </w:p>
    <w:p w:rsidR="009A0AC3" w:rsidRDefault="004F2BBB">
      <w:pPr>
        <w:pStyle w:val="2"/>
        <w:spacing w:before="0" w:after="0" w:line="560" w:lineRule="exact"/>
        <w:ind w:firstLineChars="200" w:firstLine="640"/>
        <w:rPr>
          <w:rFonts w:asciiTheme="minorEastAsia" w:eastAsiaTheme="minorEastAsia" w:hAnsiTheme="minorEastAsia" w:cstheme="minorBidi"/>
          <w:b w:val="0"/>
          <w:kern w:val="44"/>
        </w:rPr>
      </w:pPr>
      <w:bookmarkStart w:id="15" w:name="_Toc504330228"/>
      <w:bookmarkStart w:id="16" w:name="_Toc504331428"/>
      <w:r>
        <w:rPr>
          <w:rFonts w:asciiTheme="minorEastAsia" w:eastAsiaTheme="minorEastAsia" w:hAnsiTheme="minorEastAsia" w:cstheme="minorBidi" w:hint="eastAsia"/>
          <w:b w:val="0"/>
          <w:kern w:val="44"/>
        </w:rPr>
        <w:t>2.2在校体验</w:t>
      </w:r>
      <w:bookmarkEnd w:id="15"/>
      <w:bookmarkEnd w:id="16"/>
    </w:p>
    <w:p w:rsidR="009A0AC3" w:rsidRDefault="004F2BBB">
      <w:pPr>
        <w:spacing w:line="560" w:lineRule="exact"/>
        <w:ind w:firstLineChars="200" w:firstLine="640"/>
        <w:rPr>
          <w:rFonts w:asciiTheme="minorEastAsia" w:hAnsiTheme="minorEastAsia" w:cs="Times New Roman"/>
          <w:sz w:val="32"/>
          <w:szCs w:val="32"/>
        </w:rPr>
      </w:pPr>
      <w:r>
        <w:rPr>
          <w:rFonts w:asciiTheme="minorEastAsia" w:hAnsiTheme="minorEastAsia" w:cs="Times New Roman" w:hint="eastAsia"/>
          <w:sz w:val="32"/>
          <w:szCs w:val="32"/>
        </w:rPr>
        <w:t>2017年度，学校针对学生理论学习、专业学习、实习实训等内容，面向全校学生发放了调查问卷，回收率为100%，调查结果见表1。</w:t>
      </w:r>
    </w:p>
    <w:p w:rsidR="009A0AC3" w:rsidRDefault="004F2BBB">
      <w:pPr>
        <w:spacing w:line="560" w:lineRule="exact"/>
        <w:ind w:firstLineChars="133" w:firstLine="319"/>
        <w:rPr>
          <w:rFonts w:asciiTheme="minorEastAsia" w:hAnsiTheme="minorEastAsia"/>
          <w:sz w:val="24"/>
          <w:szCs w:val="24"/>
        </w:rPr>
      </w:pPr>
      <w:r>
        <w:rPr>
          <w:rFonts w:asciiTheme="minorEastAsia" w:hAnsiTheme="minorEastAsia" w:cs="Times New Roman" w:hint="eastAsia"/>
          <w:sz w:val="24"/>
          <w:szCs w:val="24"/>
        </w:rPr>
        <w:t>表1 ：学生满意度调查汇总表</w:t>
      </w:r>
    </w:p>
    <w:tbl>
      <w:tblPr>
        <w:tblStyle w:val="ad"/>
        <w:tblW w:w="8320" w:type="dxa"/>
        <w:jc w:val="center"/>
        <w:tblLayout w:type="fixed"/>
        <w:tblLook w:val="04A0"/>
      </w:tblPr>
      <w:tblGrid>
        <w:gridCol w:w="1162"/>
        <w:gridCol w:w="4496"/>
        <w:gridCol w:w="1704"/>
        <w:gridCol w:w="958"/>
      </w:tblGrid>
      <w:tr w:rsidR="009A0AC3">
        <w:trPr>
          <w:jc w:val="center"/>
        </w:trPr>
        <w:tc>
          <w:tcPr>
            <w:tcW w:w="1162" w:type="dxa"/>
          </w:tcPr>
          <w:p w:rsidR="009A0AC3" w:rsidRDefault="004F2BBB">
            <w:pPr>
              <w:spacing w:line="480" w:lineRule="exact"/>
              <w:rPr>
                <w:rFonts w:asciiTheme="minorEastAsia" w:hAnsiTheme="minorEastAsia"/>
                <w:sz w:val="32"/>
                <w:szCs w:val="32"/>
              </w:rPr>
            </w:pPr>
            <w:r>
              <w:rPr>
                <w:rFonts w:asciiTheme="minorEastAsia" w:hAnsiTheme="minorEastAsia" w:hint="eastAsia"/>
                <w:sz w:val="32"/>
                <w:szCs w:val="32"/>
              </w:rPr>
              <w:t>序号</w:t>
            </w:r>
          </w:p>
        </w:tc>
        <w:tc>
          <w:tcPr>
            <w:tcW w:w="4496" w:type="dxa"/>
          </w:tcPr>
          <w:p w:rsidR="009A0AC3" w:rsidRDefault="004F2BBB">
            <w:pPr>
              <w:spacing w:line="480" w:lineRule="exact"/>
              <w:ind w:firstLineChars="133" w:firstLine="426"/>
              <w:rPr>
                <w:rFonts w:asciiTheme="minorEastAsia" w:hAnsiTheme="minorEastAsia"/>
                <w:sz w:val="32"/>
                <w:szCs w:val="32"/>
              </w:rPr>
            </w:pPr>
            <w:r>
              <w:rPr>
                <w:rFonts w:asciiTheme="minorEastAsia" w:hAnsiTheme="minorEastAsia" w:hint="eastAsia"/>
                <w:sz w:val="32"/>
                <w:szCs w:val="32"/>
              </w:rPr>
              <w:t>调查内容</w:t>
            </w:r>
          </w:p>
        </w:tc>
        <w:tc>
          <w:tcPr>
            <w:tcW w:w="1704" w:type="dxa"/>
          </w:tcPr>
          <w:p w:rsidR="009A0AC3" w:rsidRDefault="004F2BBB">
            <w:pPr>
              <w:spacing w:line="480" w:lineRule="exact"/>
              <w:ind w:firstLineChars="133" w:firstLine="426"/>
              <w:rPr>
                <w:rFonts w:asciiTheme="minorEastAsia" w:hAnsiTheme="minorEastAsia"/>
                <w:sz w:val="32"/>
                <w:szCs w:val="32"/>
              </w:rPr>
            </w:pPr>
            <w:r>
              <w:rPr>
                <w:rFonts w:asciiTheme="minorEastAsia" w:hAnsiTheme="minorEastAsia" w:hint="eastAsia"/>
                <w:sz w:val="32"/>
                <w:szCs w:val="32"/>
              </w:rPr>
              <w:t>满意度</w:t>
            </w:r>
          </w:p>
        </w:tc>
        <w:tc>
          <w:tcPr>
            <w:tcW w:w="958" w:type="dxa"/>
          </w:tcPr>
          <w:p w:rsidR="009A0AC3" w:rsidRDefault="004F2BBB">
            <w:pPr>
              <w:spacing w:line="480" w:lineRule="exact"/>
              <w:rPr>
                <w:rFonts w:asciiTheme="minorEastAsia" w:hAnsiTheme="minorEastAsia"/>
                <w:sz w:val="32"/>
                <w:szCs w:val="32"/>
              </w:rPr>
            </w:pPr>
            <w:r>
              <w:rPr>
                <w:rFonts w:asciiTheme="minorEastAsia" w:hAnsiTheme="minorEastAsia" w:hint="eastAsia"/>
                <w:sz w:val="32"/>
                <w:szCs w:val="32"/>
              </w:rPr>
              <w:t>备注</w:t>
            </w:r>
          </w:p>
        </w:tc>
      </w:tr>
      <w:tr w:rsidR="009A0AC3">
        <w:trPr>
          <w:jc w:val="center"/>
        </w:trPr>
        <w:tc>
          <w:tcPr>
            <w:tcW w:w="1162" w:type="dxa"/>
          </w:tcPr>
          <w:p w:rsidR="009A0AC3" w:rsidRDefault="004F2BBB">
            <w:pPr>
              <w:spacing w:line="480" w:lineRule="exact"/>
              <w:ind w:leftChars="17" w:left="49" w:hangingChars="4" w:hanging="13"/>
              <w:jc w:val="center"/>
              <w:rPr>
                <w:rFonts w:asciiTheme="minorEastAsia" w:hAnsiTheme="minorEastAsia" w:cs="Times New Roman"/>
                <w:sz w:val="32"/>
                <w:szCs w:val="32"/>
              </w:rPr>
            </w:pPr>
            <w:r>
              <w:rPr>
                <w:rFonts w:asciiTheme="minorEastAsia" w:hAnsiTheme="minorEastAsia" w:cs="Times New Roman" w:hint="eastAsia"/>
                <w:sz w:val="32"/>
                <w:szCs w:val="32"/>
              </w:rPr>
              <w:t>1</w:t>
            </w:r>
          </w:p>
        </w:tc>
        <w:tc>
          <w:tcPr>
            <w:tcW w:w="4496"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理论学习满意度</w:t>
            </w:r>
          </w:p>
        </w:tc>
        <w:tc>
          <w:tcPr>
            <w:tcW w:w="1704"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98.91%</w:t>
            </w:r>
          </w:p>
        </w:tc>
        <w:tc>
          <w:tcPr>
            <w:tcW w:w="958" w:type="dxa"/>
          </w:tcPr>
          <w:p w:rsidR="009A0AC3" w:rsidRDefault="009A0AC3">
            <w:pPr>
              <w:spacing w:line="480" w:lineRule="exact"/>
              <w:ind w:leftChars="17" w:left="49" w:hangingChars="4" w:hanging="13"/>
              <w:rPr>
                <w:rFonts w:asciiTheme="minorEastAsia" w:hAnsiTheme="minorEastAsia" w:cs="Times New Roman"/>
                <w:sz w:val="32"/>
                <w:szCs w:val="32"/>
              </w:rPr>
            </w:pPr>
          </w:p>
        </w:tc>
      </w:tr>
      <w:tr w:rsidR="009A0AC3">
        <w:trPr>
          <w:jc w:val="center"/>
        </w:trPr>
        <w:tc>
          <w:tcPr>
            <w:tcW w:w="1162" w:type="dxa"/>
          </w:tcPr>
          <w:p w:rsidR="009A0AC3" w:rsidRDefault="004F2BBB">
            <w:pPr>
              <w:spacing w:line="480" w:lineRule="exact"/>
              <w:ind w:leftChars="17" w:left="49" w:hangingChars="4" w:hanging="13"/>
              <w:jc w:val="center"/>
              <w:rPr>
                <w:rFonts w:asciiTheme="minorEastAsia" w:hAnsiTheme="minorEastAsia" w:cs="Times New Roman"/>
                <w:sz w:val="32"/>
                <w:szCs w:val="32"/>
              </w:rPr>
            </w:pPr>
            <w:r>
              <w:rPr>
                <w:rFonts w:asciiTheme="minorEastAsia" w:hAnsiTheme="minorEastAsia" w:cs="Times New Roman" w:hint="eastAsia"/>
                <w:sz w:val="32"/>
                <w:szCs w:val="32"/>
              </w:rPr>
              <w:t>2</w:t>
            </w:r>
          </w:p>
        </w:tc>
        <w:tc>
          <w:tcPr>
            <w:tcW w:w="4496"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专业学习满意度</w:t>
            </w:r>
          </w:p>
        </w:tc>
        <w:tc>
          <w:tcPr>
            <w:tcW w:w="1704"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97.18%</w:t>
            </w:r>
          </w:p>
        </w:tc>
        <w:tc>
          <w:tcPr>
            <w:tcW w:w="958" w:type="dxa"/>
          </w:tcPr>
          <w:p w:rsidR="009A0AC3" w:rsidRDefault="009A0AC3">
            <w:pPr>
              <w:spacing w:line="480" w:lineRule="exact"/>
              <w:ind w:leftChars="17" w:left="49" w:hangingChars="4" w:hanging="13"/>
              <w:rPr>
                <w:rFonts w:asciiTheme="minorEastAsia" w:hAnsiTheme="minorEastAsia" w:cs="Times New Roman"/>
                <w:sz w:val="32"/>
                <w:szCs w:val="32"/>
              </w:rPr>
            </w:pPr>
          </w:p>
        </w:tc>
      </w:tr>
      <w:tr w:rsidR="009A0AC3">
        <w:trPr>
          <w:jc w:val="center"/>
        </w:trPr>
        <w:tc>
          <w:tcPr>
            <w:tcW w:w="1162" w:type="dxa"/>
          </w:tcPr>
          <w:p w:rsidR="009A0AC3" w:rsidRDefault="004F2BBB">
            <w:pPr>
              <w:spacing w:line="480" w:lineRule="exact"/>
              <w:ind w:leftChars="17" w:left="49" w:hangingChars="4" w:hanging="13"/>
              <w:jc w:val="center"/>
              <w:rPr>
                <w:rFonts w:asciiTheme="minorEastAsia" w:hAnsiTheme="minorEastAsia" w:cs="Times New Roman"/>
                <w:sz w:val="32"/>
                <w:szCs w:val="32"/>
              </w:rPr>
            </w:pPr>
            <w:r>
              <w:rPr>
                <w:rFonts w:asciiTheme="minorEastAsia" w:hAnsiTheme="minorEastAsia" w:cs="Times New Roman" w:hint="eastAsia"/>
                <w:sz w:val="32"/>
                <w:szCs w:val="32"/>
              </w:rPr>
              <w:t>3</w:t>
            </w:r>
          </w:p>
        </w:tc>
        <w:tc>
          <w:tcPr>
            <w:tcW w:w="4496"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校园文化与社团活动满意度</w:t>
            </w:r>
          </w:p>
        </w:tc>
        <w:tc>
          <w:tcPr>
            <w:tcW w:w="1704"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96%</w:t>
            </w:r>
          </w:p>
        </w:tc>
        <w:tc>
          <w:tcPr>
            <w:tcW w:w="958" w:type="dxa"/>
          </w:tcPr>
          <w:p w:rsidR="009A0AC3" w:rsidRDefault="009A0AC3">
            <w:pPr>
              <w:spacing w:line="480" w:lineRule="exact"/>
              <w:ind w:leftChars="17" w:left="49" w:hangingChars="4" w:hanging="13"/>
              <w:rPr>
                <w:rFonts w:asciiTheme="minorEastAsia" w:hAnsiTheme="minorEastAsia" w:cs="Times New Roman"/>
                <w:sz w:val="32"/>
                <w:szCs w:val="32"/>
              </w:rPr>
            </w:pPr>
          </w:p>
        </w:tc>
      </w:tr>
      <w:tr w:rsidR="009A0AC3">
        <w:trPr>
          <w:jc w:val="center"/>
        </w:trPr>
        <w:tc>
          <w:tcPr>
            <w:tcW w:w="1162" w:type="dxa"/>
          </w:tcPr>
          <w:p w:rsidR="009A0AC3" w:rsidRDefault="004F2BBB">
            <w:pPr>
              <w:spacing w:line="480" w:lineRule="exact"/>
              <w:ind w:leftChars="17" w:left="49" w:hangingChars="4" w:hanging="13"/>
              <w:jc w:val="center"/>
              <w:rPr>
                <w:rFonts w:asciiTheme="minorEastAsia" w:hAnsiTheme="minorEastAsia" w:cs="Times New Roman"/>
                <w:sz w:val="32"/>
                <w:szCs w:val="32"/>
              </w:rPr>
            </w:pPr>
            <w:r>
              <w:rPr>
                <w:rFonts w:asciiTheme="minorEastAsia" w:hAnsiTheme="minorEastAsia" w:cs="Times New Roman" w:hint="eastAsia"/>
                <w:sz w:val="32"/>
                <w:szCs w:val="32"/>
              </w:rPr>
              <w:t>4</w:t>
            </w:r>
          </w:p>
        </w:tc>
        <w:tc>
          <w:tcPr>
            <w:tcW w:w="4496"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生活满意度</w:t>
            </w:r>
          </w:p>
        </w:tc>
        <w:tc>
          <w:tcPr>
            <w:tcW w:w="1704"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95.3%</w:t>
            </w:r>
          </w:p>
        </w:tc>
        <w:tc>
          <w:tcPr>
            <w:tcW w:w="958" w:type="dxa"/>
          </w:tcPr>
          <w:p w:rsidR="009A0AC3" w:rsidRDefault="009A0AC3">
            <w:pPr>
              <w:spacing w:line="480" w:lineRule="exact"/>
              <w:ind w:leftChars="17" w:left="49" w:hangingChars="4" w:hanging="13"/>
              <w:rPr>
                <w:rFonts w:asciiTheme="minorEastAsia" w:hAnsiTheme="minorEastAsia" w:cs="Times New Roman"/>
                <w:sz w:val="32"/>
                <w:szCs w:val="32"/>
              </w:rPr>
            </w:pPr>
          </w:p>
        </w:tc>
      </w:tr>
      <w:tr w:rsidR="009A0AC3">
        <w:trPr>
          <w:jc w:val="center"/>
        </w:trPr>
        <w:tc>
          <w:tcPr>
            <w:tcW w:w="1162" w:type="dxa"/>
          </w:tcPr>
          <w:p w:rsidR="009A0AC3" w:rsidRDefault="004F2BBB">
            <w:pPr>
              <w:spacing w:line="480" w:lineRule="exact"/>
              <w:ind w:leftChars="17" w:left="49" w:hangingChars="4" w:hanging="13"/>
              <w:jc w:val="center"/>
              <w:rPr>
                <w:rFonts w:asciiTheme="minorEastAsia" w:hAnsiTheme="minorEastAsia" w:cs="Times New Roman"/>
                <w:sz w:val="32"/>
                <w:szCs w:val="32"/>
              </w:rPr>
            </w:pPr>
            <w:r>
              <w:rPr>
                <w:rFonts w:asciiTheme="minorEastAsia" w:hAnsiTheme="minorEastAsia" w:cs="Times New Roman" w:hint="eastAsia"/>
                <w:sz w:val="32"/>
                <w:szCs w:val="32"/>
              </w:rPr>
              <w:t>5</w:t>
            </w:r>
          </w:p>
        </w:tc>
        <w:tc>
          <w:tcPr>
            <w:tcW w:w="4496"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校园安全满意度</w:t>
            </w:r>
          </w:p>
        </w:tc>
        <w:tc>
          <w:tcPr>
            <w:tcW w:w="1704"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98 %</w:t>
            </w:r>
          </w:p>
        </w:tc>
        <w:tc>
          <w:tcPr>
            <w:tcW w:w="958" w:type="dxa"/>
          </w:tcPr>
          <w:p w:rsidR="009A0AC3" w:rsidRDefault="009A0AC3">
            <w:pPr>
              <w:spacing w:line="480" w:lineRule="exact"/>
              <w:ind w:leftChars="17" w:left="49" w:hangingChars="4" w:hanging="13"/>
              <w:rPr>
                <w:rFonts w:asciiTheme="minorEastAsia" w:hAnsiTheme="minorEastAsia" w:cs="Times New Roman"/>
                <w:sz w:val="32"/>
                <w:szCs w:val="32"/>
              </w:rPr>
            </w:pPr>
          </w:p>
        </w:tc>
      </w:tr>
      <w:tr w:rsidR="009A0AC3">
        <w:trPr>
          <w:jc w:val="center"/>
        </w:trPr>
        <w:tc>
          <w:tcPr>
            <w:tcW w:w="1162" w:type="dxa"/>
          </w:tcPr>
          <w:p w:rsidR="009A0AC3" w:rsidRDefault="004F2BBB">
            <w:pPr>
              <w:spacing w:line="480" w:lineRule="exact"/>
              <w:ind w:leftChars="17" w:left="49" w:hangingChars="4" w:hanging="13"/>
              <w:jc w:val="center"/>
              <w:rPr>
                <w:rFonts w:asciiTheme="minorEastAsia" w:hAnsiTheme="minorEastAsia" w:cs="Times New Roman"/>
                <w:sz w:val="32"/>
                <w:szCs w:val="32"/>
              </w:rPr>
            </w:pPr>
            <w:r>
              <w:rPr>
                <w:rFonts w:asciiTheme="minorEastAsia" w:hAnsiTheme="minorEastAsia" w:cs="Times New Roman" w:hint="eastAsia"/>
                <w:sz w:val="32"/>
                <w:szCs w:val="32"/>
              </w:rPr>
              <w:t>6</w:t>
            </w:r>
          </w:p>
        </w:tc>
        <w:tc>
          <w:tcPr>
            <w:tcW w:w="4496"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实训满意度</w:t>
            </w:r>
          </w:p>
        </w:tc>
        <w:tc>
          <w:tcPr>
            <w:tcW w:w="1704"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96%</w:t>
            </w:r>
          </w:p>
        </w:tc>
        <w:tc>
          <w:tcPr>
            <w:tcW w:w="958" w:type="dxa"/>
          </w:tcPr>
          <w:p w:rsidR="009A0AC3" w:rsidRDefault="009A0AC3">
            <w:pPr>
              <w:spacing w:line="480" w:lineRule="exact"/>
              <w:ind w:leftChars="17" w:left="49" w:hangingChars="4" w:hanging="13"/>
              <w:rPr>
                <w:rFonts w:asciiTheme="minorEastAsia" w:hAnsiTheme="minorEastAsia" w:cs="Times New Roman"/>
                <w:sz w:val="32"/>
                <w:szCs w:val="32"/>
              </w:rPr>
            </w:pPr>
          </w:p>
        </w:tc>
      </w:tr>
      <w:tr w:rsidR="009A0AC3">
        <w:trPr>
          <w:jc w:val="center"/>
        </w:trPr>
        <w:tc>
          <w:tcPr>
            <w:tcW w:w="1162" w:type="dxa"/>
          </w:tcPr>
          <w:p w:rsidR="009A0AC3" w:rsidRDefault="004F2BBB">
            <w:pPr>
              <w:spacing w:line="480" w:lineRule="exact"/>
              <w:ind w:leftChars="17" w:left="49" w:hangingChars="4" w:hanging="13"/>
              <w:jc w:val="center"/>
              <w:rPr>
                <w:rFonts w:asciiTheme="minorEastAsia" w:hAnsiTheme="minorEastAsia" w:cs="Times New Roman"/>
                <w:sz w:val="32"/>
                <w:szCs w:val="32"/>
              </w:rPr>
            </w:pPr>
            <w:r>
              <w:rPr>
                <w:rFonts w:asciiTheme="minorEastAsia" w:hAnsiTheme="minorEastAsia" w:cs="Times New Roman" w:hint="eastAsia"/>
                <w:sz w:val="32"/>
                <w:szCs w:val="32"/>
              </w:rPr>
              <w:t>7</w:t>
            </w:r>
          </w:p>
        </w:tc>
        <w:tc>
          <w:tcPr>
            <w:tcW w:w="4496"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见习满意度</w:t>
            </w:r>
          </w:p>
        </w:tc>
        <w:tc>
          <w:tcPr>
            <w:tcW w:w="1704"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99%</w:t>
            </w:r>
          </w:p>
        </w:tc>
        <w:tc>
          <w:tcPr>
            <w:tcW w:w="958" w:type="dxa"/>
          </w:tcPr>
          <w:p w:rsidR="009A0AC3" w:rsidRDefault="009A0AC3">
            <w:pPr>
              <w:spacing w:line="480" w:lineRule="exact"/>
              <w:ind w:leftChars="17" w:left="49" w:hangingChars="4" w:hanging="13"/>
              <w:rPr>
                <w:rFonts w:asciiTheme="minorEastAsia" w:hAnsiTheme="minorEastAsia" w:cs="Times New Roman"/>
                <w:sz w:val="32"/>
                <w:szCs w:val="32"/>
              </w:rPr>
            </w:pPr>
          </w:p>
        </w:tc>
      </w:tr>
      <w:tr w:rsidR="009A0AC3">
        <w:trPr>
          <w:jc w:val="center"/>
        </w:trPr>
        <w:tc>
          <w:tcPr>
            <w:tcW w:w="1162" w:type="dxa"/>
          </w:tcPr>
          <w:p w:rsidR="009A0AC3" w:rsidRDefault="004F2BBB">
            <w:pPr>
              <w:spacing w:line="480" w:lineRule="exact"/>
              <w:ind w:leftChars="17" w:left="49" w:hangingChars="4" w:hanging="13"/>
              <w:jc w:val="center"/>
              <w:rPr>
                <w:rFonts w:asciiTheme="minorEastAsia" w:hAnsiTheme="minorEastAsia" w:cs="Times New Roman"/>
                <w:sz w:val="32"/>
                <w:szCs w:val="32"/>
              </w:rPr>
            </w:pPr>
            <w:r>
              <w:rPr>
                <w:rFonts w:asciiTheme="minorEastAsia" w:hAnsiTheme="minorEastAsia" w:cs="Times New Roman" w:hint="eastAsia"/>
                <w:sz w:val="32"/>
                <w:szCs w:val="32"/>
              </w:rPr>
              <w:t>8</w:t>
            </w:r>
          </w:p>
        </w:tc>
        <w:tc>
          <w:tcPr>
            <w:tcW w:w="4496"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班主任工作满意度</w:t>
            </w:r>
          </w:p>
        </w:tc>
        <w:tc>
          <w:tcPr>
            <w:tcW w:w="1704"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97%</w:t>
            </w:r>
          </w:p>
        </w:tc>
        <w:tc>
          <w:tcPr>
            <w:tcW w:w="958" w:type="dxa"/>
          </w:tcPr>
          <w:p w:rsidR="009A0AC3" w:rsidRDefault="009A0AC3">
            <w:pPr>
              <w:spacing w:line="480" w:lineRule="exact"/>
              <w:ind w:leftChars="17" w:left="49" w:hangingChars="4" w:hanging="13"/>
              <w:rPr>
                <w:rFonts w:asciiTheme="minorEastAsia" w:hAnsiTheme="minorEastAsia" w:cs="Times New Roman"/>
                <w:sz w:val="32"/>
                <w:szCs w:val="32"/>
              </w:rPr>
            </w:pPr>
          </w:p>
        </w:tc>
      </w:tr>
      <w:tr w:rsidR="009A0AC3">
        <w:trPr>
          <w:jc w:val="center"/>
        </w:trPr>
        <w:tc>
          <w:tcPr>
            <w:tcW w:w="1162" w:type="dxa"/>
          </w:tcPr>
          <w:p w:rsidR="009A0AC3" w:rsidRDefault="004F2BBB">
            <w:pPr>
              <w:spacing w:line="480" w:lineRule="exact"/>
              <w:ind w:leftChars="17" w:left="49" w:hangingChars="4" w:hanging="13"/>
              <w:jc w:val="center"/>
              <w:rPr>
                <w:rFonts w:asciiTheme="minorEastAsia" w:hAnsiTheme="minorEastAsia" w:cs="Times New Roman"/>
                <w:sz w:val="32"/>
                <w:szCs w:val="32"/>
              </w:rPr>
            </w:pPr>
            <w:r>
              <w:rPr>
                <w:rFonts w:asciiTheme="minorEastAsia" w:hAnsiTheme="minorEastAsia" w:cs="Times New Roman" w:hint="eastAsia"/>
                <w:sz w:val="32"/>
                <w:szCs w:val="32"/>
              </w:rPr>
              <w:t>9</w:t>
            </w:r>
          </w:p>
        </w:tc>
        <w:tc>
          <w:tcPr>
            <w:tcW w:w="4496"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住宿满意度</w:t>
            </w:r>
          </w:p>
        </w:tc>
        <w:tc>
          <w:tcPr>
            <w:tcW w:w="1704" w:type="dxa"/>
          </w:tcPr>
          <w:p w:rsidR="009A0AC3" w:rsidRDefault="004F2BBB">
            <w:pPr>
              <w:spacing w:line="480" w:lineRule="exact"/>
              <w:ind w:leftChars="17" w:left="49" w:hangingChars="4" w:hanging="13"/>
              <w:rPr>
                <w:rFonts w:asciiTheme="minorEastAsia" w:hAnsiTheme="minorEastAsia" w:cs="Times New Roman"/>
                <w:sz w:val="32"/>
                <w:szCs w:val="32"/>
              </w:rPr>
            </w:pPr>
            <w:r>
              <w:rPr>
                <w:rFonts w:asciiTheme="minorEastAsia" w:hAnsiTheme="minorEastAsia" w:cs="Times New Roman" w:hint="eastAsia"/>
                <w:sz w:val="32"/>
                <w:szCs w:val="32"/>
              </w:rPr>
              <w:t>92%</w:t>
            </w:r>
          </w:p>
        </w:tc>
        <w:tc>
          <w:tcPr>
            <w:tcW w:w="958" w:type="dxa"/>
          </w:tcPr>
          <w:p w:rsidR="009A0AC3" w:rsidRDefault="009A0AC3">
            <w:pPr>
              <w:spacing w:line="480" w:lineRule="exact"/>
              <w:ind w:leftChars="17" w:left="49" w:hangingChars="4" w:hanging="13"/>
              <w:rPr>
                <w:rFonts w:asciiTheme="minorEastAsia" w:hAnsiTheme="minorEastAsia" w:cs="Times New Roman"/>
                <w:sz w:val="32"/>
                <w:szCs w:val="32"/>
              </w:rPr>
            </w:pPr>
          </w:p>
        </w:tc>
      </w:tr>
    </w:tbl>
    <w:p w:rsidR="009A0AC3" w:rsidRDefault="009A0AC3"/>
    <w:p w:rsidR="009A0AC3" w:rsidRDefault="004F2BBB">
      <w:pPr>
        <w:pStyle w:val="2"/>
        <w:spacing w:before="0" w:after="0" w:line="560" w:lineRule="exact"/>
        <w:ind w:firstLineChars="200" w:firstLine="640"/>
        <w:rPr>
          <w:rFonts w:asciiTheme="minorEastAsia" w:eastAsiaTheme="minorEastAsia" w:hAnsiTheme="minorEastAsia" w:cstheme="minorBidi"/>
          <w:b w:val="0"/>
          <w:kern w:val="44"/>
        </w:rPr>
      </w:pPr>
      <w:bookmarkStart w:id="17" w:name="_Toc504331429"/>
      <w:bookmarkStart w:id="18" w:name="_Toc504330229"/>
      <w:r>
        <w:rPr>
          <w:rFonts w:asciiTheme="minorEastAsia" w:eastAsiaTheme="minorEastAsia" w:hAnsiTheme="minorEastAsia" w:cstheme="minorBidi" w:hint="eastAsia"/>
          <w:b w:val="0"/>
          <w:kern w:val="44"/>
        </w:rPr>
        <w:t>2.3资助情况</w:t>
      </w:r>
      <w:bookmarkEnd w:id="17"/>
      <w:bookmarkEnd w:id="18"/>
    </w:p>
    <w:p w:rsidR="009A0AC3" w:rsidRDefault="004F2BBB">
      <w:pPr>
        <w:spacing w:line="580" w:lineRule="exact"/>
        <w:ind w:firstLineChars="183" w:firstLine="586"/>
        <w:rPr>
          <w:rFonts w:asciiTheme="minorEastAsia" w:hAnsiTheme="minorEastAsia"/>
          <w:sz w:val="32"/>
          <w:szCs w:val="32"/>
        </w:rPr>
      </w:pPr>
      <w:r>
        <w:rPr>
          <w:rFonts w:asciiTheme="minorEastAsia" w:hAnsiTheme="minorEastAsia" w:hint="eastAsia"/>
          <w:sz w:val="32"/>
          <w:szCs w:val="32"/>
        </w:rPr>
        <w:t>学校严格执行国家有关学生资助的各项政策，成立了以校长为组长的学生资助工作领导小组，设立学生资助办公室，作为学生资助的专门机构，由专人负责学生的资助工作。严格按国家和广西的资助政策制定了《广西钦州商贸学校资助资金管理办法》等规章制度。资助政策宣传到位，奖助评审过程、公示、发放流程规范，档案留存完整。由专人负责填报、维护全</w:t>
      </w:r>
      <w:r>
        <w:rPr>
          <w:rFonts w:asciiTheme="minorEastAsia" w:hAnsiTheme="minorEastAsia" w:hint="eastAsia"/>
          <w:sz w:val="32"/>
          <w:szCs w:val="32"/>
        </w:rPr>
        <w:lastRenderedPageBreak/>
        <w:t>国学生资助管理信息系统中的数据，确保资助系统数据填报及时、准确、完整、真实；确保资助信息安全，不存在安全漏洞。</w:t>
      </w:r>
    </w:p>
    <w:p w:rsidR="009A0AC3" w:rsidRDefault="004F2BBB">
      <w:pPr>
        <w:spacing w:line="580" w:lineRule="exact"/>
        <w:ind w:firstLineChars="183" w:firstLine="586"/>
        <w:rPr>
          <w:rFonts w:asciiTheme="minorEastAsia" w:hAnsiTheme="minorEastAsia"/>
          <w:sz w:val="32"/>
          <w:szCs w:val="32"/>
        </w:rPr>
      </w:pPr>
      <w:r>
        <w:rPr>
          <w:rFonts w:asciiTheme="minorEastAsia" w:hAnsiTheme="minorEastAsia" w:hint="eastAsia"/>
          <w:sz w:val="32"/>
          <w:szCs w:val="32"/>
        </w:rPr>
        <w:t>切实做好精准扶贫资助工作，2017年，建档立卡户学生和连片特困地区户籍学生共204名，全部纳入国家助学金资助范围，此外还组织建档立卡户学生申请广西雨露计划资助。</w:t>
      </w:r>
    </w:p>
    <w:p w:rsidR="009A0AC3" w:rsidRDefault="004F2BBB">
      <w:pPr>
        <w:spacing w:line="580" w:lineRule="exact"/>
        <w:ind w:firstLineChars="183" w:firstLine="586"/>
        <w:rPr>
          <w:rFonts w:asciiTheme="minorEastAsia" w:hAnsiTheme="minorEastAsia"/>
          <w:sz w:val="32"/>
          <w:szCs w:val="32"/>
        </w:rPr>
      </w:pPr>
      <w:r>
        <w:rPr>
          <w:rFonts w:asciiTheme="minorEastAsia" w:hAnsiTheme="minorEastAsia" w:hint="eastAsia"/>
          <w:sz w:val="32"/>
          <w:szCs w:val="32"/>
        </w:rPr>
        <w:t>2017年，学校共有244名学生获国家助学金（2000元/人），59名学生获自治区人民政府中等职业教育奖学金（2000元/人），此外，学校自行发放的奖、助学金达60余万元。</w:t>
      </w:r>
    </w:p>
    <w:p w:rsidR="009A0AC3" w:rsidRDefault="004F2BBB">
      <w:pPr>
        <w:spacing w:line="580" w:lineRule="exact"/>
        <w:ind w:firstLineChars="183" w:firstLine="586"/>
        <w:rPr>
          <w:rFonts w:asciiTheme="minorEastAsia" w:hAnsiTheme="minorEastAsia" w:cs="Times New Roman"/>
          <w:sz w:val="32"/>
          <w:szCs w:val="32"/>
        </w:rPr>
      </w:pPr>
      <w:r>
        <w:rPr>
          <w:rFonts w:asciiTheme="minorEastAsia" w:hAnsiTheme="minorEastAsia" w:hint="eastAsia"/>
          <w:sz w:val="32"/>
          <w:szCs w:val="32"/>
        </w:rPr>
        <w:t>学校还通过减免贫困生的住宿费，开展特殊困难资助、提供勤工助学资助等方式，实现了“不让一位学生因家庭困难而辍学，精准资助顺利完成学业”的资助目标。</w:t>
      </w:r>
    </w:p>
    <w:p w:rsidR="009A0AC3" w:rsidRDefault="004F2BBB">
      <w:pPr>
        <w:pStyle w:val="2"/>
        <w:spacing w:before="0" w:after="0" w:line="560" w:lineRule="exact"/>
        <w:ind w:firstLineChars="200" w:firstLine="640"/>
        <w:rPr>
          <w:rFonts w:asciiTheme="minorEastAsia" w:eastAsiaTheme="minorEastAsia" w:hAnsiTheme="minorEastAsia" w:cstheme="minorBidi"/>
          <w:b w:val="0"/>
          <w:kern w:val="44"/>
        </w:rPr>
      </w:pPr>
      <w:bookmarkStart w:id="19" w:name="_Toc504330230"/>
      <w:bookmarkStart w:id="20" w:name="_Toc504331430"/>
      <w:r>
        <w:rPr>
          <w:rFonts w:asciiTheme="minorEastAsia" w:eastAsiaTheme="minorEastAsia" w:hAnsiTheme="minorEastAsia" w:cstheme="minorBidi" w:hint="eastAsia"/>
          <w:b w:val="0"/>
          <w:kern w:val="44"/>
        </w:rPr>
        <w:t>2.4就业质量</w:t>
      </w:r>
      <w:bookmarkEnd w:id="19"/>
      <w:bookmarkEnd w:id="20"/>
    </w:p>
    <w:p w:rsidR="009A0AC3" w:rsidRDefault="004F2BBB">
      <w:pPr>
        <w:spacing w:line="500" w:lineRule="exact"/>
        <w:ind w:firstLineChars="200" w:firstLine="640"/>
        <w:rPr>
          <w:rFonts w:ascii="宋体" w:eastAsia="宋体" w:hAnsi="宋体" w:cs="Times New Roman"/>
          <w:sz w:val="32"/>
          <w:szCs w:val="32"/>
        </w:rPr>
      </w:pPr>
      <w:r>
        <w:rPr>
          <w:rFonts w:ascii="宋体" w:eastAsia="宋体" w:hAnsi="宋体" w:cs="Times New Roman" w:hint="eastAsia"/>
          <w:sz w:val="32"/>
          <w:szCs w:val="32"/>
        </w:rPr>
        <w:t>学校利用网络、实地探访等方式搜集企业信息，了解企业用人需求。在学生教育培养方面，增加学生职业生涯规划指导，指导学生学好专业技能，提高综合能力。在就业平台拓展方面，强化校企合作，精心办好双选会，拓宽学生就业市场。此外，积极开展创业教育，培养学生创业精神。2017年，学校对9个专业的804名学生进行了就业安置，总体就业率达98%，其中，对口安置683人，对口安置率达85%，较上年度有提升，就业质量的稳定性、满意度较好，见表2。</w:t>
      </w:r>
    </w:p>
    <w:p w:rsidR="009A0AC3" w:rsidRDefault="004F2BBB">
      <w:pPr>
        <w:spacing w:line="5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表2 ： 2017届学生就业情况统计表</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163"/>
        <w:gridCol w:w="1276"/>
        <w:gridCol w:w="1246"/>
        <w:gridCol w:w="1305"/>
        <w:gridCol w:w="1276"/>
      </w:tblGrid>
      <w:tr w:rsidR="009A0AC3">
        <w:trPr>
          <w:trHeight w:val="397"/>
          <w:jc w:val="center"/>
        </w:trPr>
        <w:tc>
          <w:tcPr>
            <w:tcW w:w="2694" w:type="dxa"/>
            <w:vAlign w:val="center"/>
          </w:tcPr>
          <w:p w:rsidR="009A0AC3" w:rsidRDefault="004F2BBB">
            <w:pPr>
              <w:spacing w:line="500" w:lineRule="exact"/>
              <w:ind w:leftChars="17" w:left="47" w:hangingChars="4" w:hanging="11"/>
              <w:jc w:val="center"/>
              <w:rPr>
                <w:rFonts w:asciiTheme="minorEastAsia" w:hAnsiTheme="minorEastAsia" w:cs="Times New Roman"/>
                <w:sz w:val="28"/>
                <w:szCs w:val="28"/>
              </w:rPr>
            </w:pPr>
            <w:r>
              <w:rPr>
                <w:rFonts w:asciiTheme="minorEastAsia" w:hAnsiTheme="minorEastAsia" w:cs="Times New Roman" w:hint="eastAsia"/>
                <w:sz w:val="28"/>
                <w:szCs w:val="28"/>
              </w:rPr>
              <w:t>专业</w:t>
            </w:r>
          </w:p>
        </w:tc>
        <w:tc>
          <w:tcPr>
            <w:tcW w:w="1163" w:type="dxa"/>
            <w:vAlign w:val="center"/>
          </w:tcPr>
          <w:p w:rsidR="009A0AC3" w:rsidRDefault="004F2BBB">
            <w:pPr>
              <w:spacing w:line="500" w:lineRule="exact"/>
              <w:ind w:leftChars="17" w:left="47" w:hangingChars="4" w:hanging="11"/>
              <w:jc w:val="center"/>
              <w:rPr>
                <w:rFonts w:asciiTheme="minorEastAsia" w:hAnsiTheme="minorEastAsia" w:cs="Times New Roman"/>
                <w:sz w:val="28"/>
                <w:szCs w:val="28"/>
              </w:rPr>
            </w:pPr>
            <w:r>
              <w:rPr>
                <w:rFonts w:asciiTheme="minorEastAsia" w:hAnsiTheme="minorEastAsia" w:cs="Times New Roman" w:hint="eastAsia"/>
                <w:sz w:val="28"/>
                <w:szCs w:val="28"/>
              </w:rPr>
              <w:t>学生</w:t>
            </w:r>
          </w:p>
          <w:p w:rsidR="009A0AC3" w:rsidRDefault="004F2BBB">
            <w:pPr>
              <w:spacing w:line="500" w:lineRule="exact"/>
              <w:ind w:leftChars="17" w:left="47" w:hangingChars="4" w:hanging="11"/>
              <w:jc w:val="center"/>
              <w:rPr>
                <w:rFonts w:asciiTheme="minorEastAsia" w:hAnsiTheme="minorEastAsia" w:cs="Times New Roman"/>
                <w:sz w:val="28"/>
                <w:szCs w:val="28"/>
              </w:rPr>
            </w:pPr>
            <w:r>
              <w:rPr>
                <w:rFonts w:asciiTheme="minorEastAsia" w:hAnsiTheme="minorEastAsia" w:cs="Times New Roman" w:hint="eastAsia"/>
                <w:sz w:val="28"/>
                <w:szCs w:val="28"/>
              </w:rPr>
              <w:t>人数</w:t>
            </w:r>
          </w:p>
        </w:tc>
        <w:tc>
          <w:tcPr>
            <w:tcW w:w="1276" w:type="dxa"/>
            <w:vAlign w:val="center"/>
          </w:tcPr>
          <w:p w:rsidR="009A0AC3" w:rsidRDefault="004F2BBB">
            <w:pPr>
              <w:spacing w:line="500" w:lineRule="exact"/>
              <w:ind w:leftChars="17" w:left="47" w:hangingChars="4" w:hanging="11"/>
              <w:jc w:val="center"/>
              <w:rPr>
                <w:rFonts w:asciiTheme="minorEastAsia" w:hAnsiTheme="minorEastAsia" w:cs="Times New Roman"/>
                <w:sz w:val="28"/>
                <w:szCs w:val="28"/>
              </w:rPr>
            </w:pPr>
            <w:r>
              <w:rPr>
                <w:rFonts w:asciiTheme="minorEastAsia" w:hAnsiTheme="minorEastAsia" w:cs="Times New Roman" w:hint="eastAsia"/>
                <w:sz w:val="28"/>
                <w:szCs w:val="28"/>
              </w:rPr>
              <w:t>就业安置人数</w:t>
            </w:r>
          </w:p>
        </w:tc>
        <w:tc>
          <w:tcPr>
            <w:tcW w:w="1246" w:type="dxa"/>
            <w:vAlign w:val="center"/>
          </w:tcPr>
          <w:p w:rsidR="009A0AC3" w:rsidRDefault="004F2BBB">
            <w:pPr>
              <w:spacing w:line="500" w:lineRule="exact"/>
              <w:ind w:leftChars="17" w:left="47" w:hangingChars="4" w:hanging="11"/>
              <w:jc w:val="center"/>
              <w:rPr>
                <w:rFonts w:asciiTheme="minorEastAsia" w:hAnsiTheme="minorEastAsia" w:cs="Times New Roman"/>
                <w:sz w:val="28"/>
                <w:szCs w:val="28"/>
              </w:rPr>
            </w:pPr>
            <w:r>
              <w:rPr>
                <w:rFonts w:asciiTheme="minorEastAsia" w:hAnsiTheme="minorEastAsia" w:cs="Times New Roman" w:hint="eastAsia"/>
                <w:sz w:val="28"/>
                <w:szCs w:val="28"/>
              </w:rPr>
              <w:t>对口安置人数</w:t>
            </w:r>
          </w:p>
        </w:tc>
        <w:tc>
          <w:tcPr>
            <w:tcW w:w="1305" w:type="dxa"/>
            <w:vAlign w:val="center"/>
          </w:tcPr>
          <w:p w:rsidR="009A0AC3" w:rsidRDefault="004F2BBB">
            <w:pPr>
              <w:spacing w:line="500" w:lineRule="exact"/>
              <w:ind w:leftChars="17" w:left="47" w:hangingChars="4" w:hanging="11"/>
              <w:jc w:val="center"/>
              <w:rPr>
                <w:rFonts w:asciiTheme="minorEastAsia" w:hAnsiTheme="minorEastAsia" w:cs="Times New Roman"/>
                <w:sz w:val="28"/>
                <w:szCs w:val="28"/>
              </w:rPr>
            </w:pPr>
            <w:r>
              <w:rPr>
                <w:rFonts w:asciiTheme="minorEastAsia" w:hAnsiTheme="minorEastAsia" w:cs="Times New Roman" w:hint="eastAsia"/>
                <w:sz w:val="28"/>
                <w:szCs w:val="28"/>
              </w:rPr>
              <w:t>对口</w:t>
            </w:r>
          </w:p>
          <w:p w:rsidR="009A0AC3" w:rsidRDefault="004F2BBB">
            <w:pPr>
              <w:spacing w:line="500" w:lineRule="exact"/>
              <w:ind w:leftChars="17" w:left="47" w:hangingChars="4" w:hanging="11"/>
              <w:jc w:val="center"/>
              <w:rPr>
                <w:rFonts w:asciiTheme="minorEastAsia" w:hAnsiTheme="minorEastAsia" w:cs="Times New Roman"/>
                <w:sz w:val="28"/>
                <w:szCs w:val="28"/>
              </w:rPr>
            </w:pPr>
            <w:r>
              <w:rPr>
                <w:rFonts w:asciiTheme="minorEastAsia" w:hAnsiTheme="minorEastAsia" w:cs="Times New Roman" w:hint="eastAsia"/>
                <w:sz w:val="28"/>
                <w:szCs w:val="28"/>
              </w:rPr>
              <w:t>就业率</w:t>
            </w:r>
          </w:p>
        </w:tc>
        <w:tc>
          <w:tcPr>
            <w:tcW w:w="1276" w:type="dxa"/>
            <w:vAlign w:val="center"/>
          </w:tcPr>
          <w:p w:rsidR="009A0AC3" w:rsidRDefault="004F2BBB">
            <w:pPr>
              <w:spacing w:line="500" w:lineRule="exact"/>
              <w:ind w:leftChars="17" w:left="47" w:hangingChars="4" w:hanging="11"/>
              <w:jc w:val="center"/>
              <w:rPr>
                <w:rFonts w:asciiTheme="minorEastAsia" w:hAnsiTheme="minorEastAsia" w:cs="Times New Roman"/>
                <w:sz w:val="28"/>
                <w:szCs w:val="28"/>
              </w:rPr>
            </w:pPr>
            <w:r>
              <w:rPr>
                <w:rFonts w:asciiTheme="minorEastAsia" w:hAnsiTheme="minorEastAsia" w:cs="Times New Roman" w:hint="eastAsia"/>
                <w:sz w:val="28"/>
                <w:szCs w:val="28"/>
              </w:rPr>
              <w:t>就业率</w:t>
            </w:r>
          </w:p>
        </w:tc>
      </w:tr>
      <w:tr w:rsidR="009A0AC3">
        <w:trPr>
          <w:trHeight w:val="397"/>
          <w:jc w:val="center"/>
        </w:trPr>
        <w:tc>
          <w:tcPr>
            <w:tcW w:w="2694" w:type="dxa"/>
            <w:vAlign w:val="center"/>
          </w:tcPr>
          <w:p w:rsidR="009A0AC3" w:rsidRDefault="004F2BBB">
            <w:pPr>
              <w:spacing w:line="500" w:lineRule="exact"/>
              <w:jc w:val="left"/>
              <w:rPr>
                <w:rFonts w:asciiTheme="majorEastAsia" w:eastAsiaTheme="majorEastAsia" w:hAnsiTheme="majorEastAsia" w:cs="宋体"/>
                <w:color w:val="000000"/>
                <w:sz w:val="24"/>
                <w:szCs w:val="24"/>
              </w:rPr>
            </w:pPr>
            <w:r>
              <w:rPr>
                <w:rFonts w:asciiTheme="majorEastAsia" w:eastAsiaTheme="majorEastAsia" w:hAnsiTheme="majorEastAsia" w:hint="eastAsia"/>
                <w:color w:val="000000"/>
                <w:sz w:val="24"/>
                <w:szCs w:val="24"/>
              </w:rPr>
              <w:t>会计</w:t>
            </w:r>
          </w:p>
        </w:tc>
        <w:tc>
          <w:tcPr>
            <w:tcW w:w="1163"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268</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263</w:t>
            </w:r>
          </w:p>
        </w:tc>
        <w:tc>
          <w:tcPr>
            <w:tcW w:w="124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213</w:t>
            </w:r>
          </w:p>
        </w:tc>
        <w:tc>
          <w:tcPr>
            <w:tcW w:w="1305"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79.48%</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98.13%</w:t>
            </w:r>
          </w:p>
        </w:tc>
      </w:tr>
      <w:tr w:rsidR="009A0AC3">
        <w:trPr>
          <w:trHeight w:val="397"/>
          <w:jc w:val="center"/>
        </w:trPr>
        <w:tc>
          <w:tcPr>
            <w:tcW w:w="2694" w:type="dxa"/>
            <w:vAlign w:val="center"/>
          </w:tcPr>
          <w:p w:rsidR="009A0AC3" w:rsidRDefault="004F2BBB">
            <w:pPr>
              <w:spacing w:line="500" w:lineRule="exact"/>
              <w:jc w:val="left"/>
              <w:rPr>
                <w:rFonts w:asciiTheme="majorEastAsia" w:eastAsiaTheme="majorEastAsia" w:hAnsiTheme="majorEastAsia" w:cs="宋体"/>
                <w:color w:val="000000"/>
                <w:sz w:val="24"/>
                <w:szCs w:val="24"/>
              </w:rPr>
            </w:pPr>
            <w:r>
              <w:rPr>
                <w:rFonts w:asciiTheme="majorEastAsia" w:eastAsiaTheme="majorEastAsia" w:hAnsiTheme="majorEastAsia" w:hint="eastAsia"/>
                <w:color w:val="000000"/>
                <w:sz w:val="24"/>
                <w:szCs w:val="24"/>
              </w:rPr>
              <w:t>计算机应用</w:t>
            </w:r>
          </w:p>
        </w:tc>
        <w:tc>
          <w:tcPr>
            <w:tcW w:w="1163"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102</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99</w:t>
            </w:r>
          </w:p>
        </w:tc>
        <w:tc>
          <w:tcPr>
            <w:tcW w:w="124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83</w:t>
            </w:r>
          </w:p>
        </w:tc>
        <w:tc>
          <w:tcPr>
            <w:tcW w:w="1305"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81.37%</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97.06%</w:t>
            </w:r>
          </w:p>
        </w:tc>
      </w:tr>
      <w:tr w:rsidR="009A0AC3">
        <w:trPr>
          <w:trHeight w:val="397"/>
          <w:jc w:val="center"/>
        </w:trPr>
        <w:tc>
          <w:tcPr>
            <w:tcW w:w="2694" w:type="dxa"/>
            <w:vAlign w:val="center"/>
          </w:tcPr>
          <w:p w:rsidR="009A0AC3" w:rsidRDefault="004F2BBB">
            <w:pPr>
              <w:spacing w:line="500" w:lineRule="exact"/>
              <w:jc w:val="left"/>
              <w:rPr>
                <w:rFonts w:asciiTheme="majorEastAsia" w:eastAsiaTheme="majorEastAsia" w:hAnsiTheme="majorEastAsia" w:cs="宋体"/>
                <w:color w:val="000000"/>
                <w:sz w:val="24"/>
                <w:szCs w:val="24"/>
              </w:rPr>
            </w:pPr>
            <w:r>
              <w:rPr>
                <w:rFonts w:asciiTheme="majorEastAsia" w:eastAsiaTheme="majorEastAsia" w:hAnsiTheme="majorEastAsia" w:hint="eastAsia"/>
                <w:color w:val="000000"/>
                <w:sz w:val="24"/>
                <w:szCs w:val="24"/>
              </w:rPr>
              <w:lastRenderedPageBreak/>
              <w:t>计算机网络技术</w:t>
            </w:r>
          </w:p>
        </w:tc>
        <w:tc>
          <w:tcPr>
            <w:tcW w:w="1163"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25</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22</w:t>
            </w:r>
          </w:p>
        </w:tc>
        <w:tc>
          <w:tcPr>
            <w:tcW w:w="124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19</w:t>
            </w:r>
          </w:p>
        </w:tc>
        <w:tc>
          <w:tcPr>
            <w:tcW w:w="1305"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76.00%</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88.00%</w:t>
            </w:r>
          </w:p>
        </w:tc>
      </w:tr>
      <w:tr w:rsidR="009A0AC3">
        <w:trPr>
          <w:trHeight w:val="397"/>
          <w:jc w:val="center"/>
        </w:trPr>
        <w:tc>
          <w:tcPr>
            <w:tcW w:w="2694" w:type="dxa"/>
            <w:vAlign w:val="center"/>
          </w:tcPr>
          <w:p w:rsidR="009A0AC3" w:rsidRDefault="004F2BBB">
            <w:pPr>
              <w:spacing w:line="500" w:lineRule="exact"/>
              <w:jc w:val="left"/>
              <w:rPr>
                <w:rFonts w:asciiTheme="majorEastAsia" w:eastAsiaTheme="majorEastAsia" w:hAnsiTheme="majorEastAsia" w:cs="宋体"/>
                <w:color w:val="000000"/>
                <w:sz w:val="24"/>
                <w:szCs w:val="24"/>
              </w:rPr>
            </w:pPr>
            <w:r>
              <w:rPr>
                <w:rFonts w:asciiTheme="majorEastAsia" w:eastAsiaTheme="majorEastAsia" w:hAnsiTheme="majorEastAsia" w:hint="eastAsia"/>
                <w:color w:val="000000"/>
                <w:sz w:val="24"/>
                <w:szCs w:val="24"/>
              </w:rPr>
              <w:t>计算机与数码产品维修</w:t>
            </w:r>
          </w:p>
        </w:tc>
        <w:tc>
          <w:tcPr>
            <w:tcW w:w="1163"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31</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28</w:t>
            </w:r>
          </w:p>
        </w:tc>
        <w:tc>
          <w:tcPr>
            <w:tcW w:w="124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21</w:t>
            </w:r>
          </w:p>
        </w:tc>
        <w:tc>
          <w:tcPr>
            <w:tcW w:w="1305"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67.74%</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90.32%</w:t>
            </w:r>
          </w:p>
        </w:tc>
      </w:tr>
      <w:tr w:rsidR="009A0AC3">
        <w:trPr>
          <w:trHeight w:val="397"/>
          <w:jc w:val="center"/>
        </w:trPr>
        <w:tc>
          <w:tcPr>
            <w:tcW w:w="2694" w:type="dxa"/>
            <w:vAlign w:val="center"/>
          </w:tcPr>
          <w:p w:rsidR="009A0AC3" w:rsidRDefault="004F2BBB">
            <w:pPr>
              <w:spacing w:line="500" w:lineRule="exact"/>
              <w:jc w:val="left"/>
              <w:rPr>
                <w:rFonts w:asciiTheme="majorEastAsia" w:eastAsiaTheme="majorEastAsia" w:hAnsiTheme="majorEastAsia" w:cs="宋体"/>
                <w:color w:val="000000"/>
                <w:sz w:val="24"/>
                <w:szCs w:val="24"/>
              </w:rPr>
            </w:pPr>
            <w:r>
              <w:rPr>
                <w:rFonts w:asciiTheme="majorEastAsia" w:eastAsiaTheme="majorEastAsia" w:hAnsiTheme="majorEastAsia" w:hint="eastAsia"/>
                <w:color w:val="000000"/>
                <w:sz w:val="24"/>
                <w:szCs w:val="24"/>
              </w:rPr>
              <w:t>电子商务</w:t>
            </w:r>
          </w:p>
        </w:tc>
        <w:tc>
          <w:tcPr>
            <w:tcW w:w="1163"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65</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65</w:t>
            </w:r>
          </w:p>
        </w:tc>
        <w:tc>
          <w:tcPr>
            <w:tcW w:w="124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56</w:t>
            </w:r>
          </w:p>
        </w:tc>
        <w:tc>
          <w:tcPr>
            <w:tcW w:w="1305"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86.15%</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100.00%</w:t>
            </w:r>
          </w:p>
        </w:tc>
      </w:tr>
      <w:tr w:rsidR="009A0AC3">
        <w:trPr>
          <w:trHeight w:val="397"/>
          <w:jc w:val="center"/>
        </w:trPr>
        <w:tc>
          <w:tcPr>
            <w:tcW w:w="2694" w:type="dxa"/>
            <w:vAlign w:val="center"/>
          </w:tcPr>
          <w:p w:rsidR="009A0AC3" w:rsidRDefault="004F2BBB">
            <w:pPr>
              <w:spacing w:line="500" w:lineRule="exact"/>
              <w:jc w:val="left"/>
              <w:rPr>
                <w:rFonts w:asciiTheme="majorEastAsia" w:eastAsiaTheme="majorEastAsia" w:hAnsiTheme="majorEastAsia" w:cs="宋体"/>
                <w:color w:val="000000"/>
                <w:sz w:val="24"/>
                <w:szCs w:val="24"/>
              </w:rPr>
            </w:pPr>
            <w:r>
              <w:rPr>
                <w:rFonts w:asciiTheme="majorEastAsia" w:eastAsiaTheme="majorEastAsia" w:hAnsiTheme="majorEastAsia" w:hint="eastAsia"/>
                <w:color w:val="000000"/>
                <w:sz w:val="24"/>
                <w:szCs w:val="24"/>
              </w:rPr>
              <w:t>美术设计与制作</w:t>
            </w:r>
          </w:p>
        </w:tc>
        <w:tc>
          <w:tcPr>
            <w:tcW w:w="1163"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76</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76</w:t>
            </w:r>
          </w:p>
        </w:tc>
        <w:tc>
          <w:tcPr>
            <w:tcW w:w="124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73</w:t>
            </w:r>
          </w:p>
        </w:tc>
        <w:tc>
          <w:tcPr>
            <w:tcW w:w="1305"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96.05%</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100.00%</w:t>
            </w:r>
          </w:p>
        </w:tc>
      </w:tr>
      <w:tr w:rsidR="009A0AC3">
        <w:trPr>
          <w:trHeight w:val="397"/>
          <w:jc w:val="center"/>
        </w:trPr>
        <w:tc>
          <w:tcPr>
            <w:tcW w:w="2694" w:type="dxa"/>
            <w:vAlign w:val="center"/>
          </w:tcPr>
          <w:p w:rsidR="009A0AC3" w:rsidRDefault="004F2BBB">
            <w:pPr>
              <w:spacing w:line="500" w:lineRule="exact"/>
              <w:jc w:val="left"/>
              <w:rPr>
                <w:rFonts w:asciiTheme="majorEastAsia" w:eastAsiaTheme="majorEastAsia" w:hAnsiTheme="majorEastAsia" w:cs="宋体"/>
                <w:color w:val="000000"/>
                <w:sz w:val="24"/>
                <w:szCs w:val="24"/>
              </w:rPr>
            </w:pPr>
            <w:r>
              <w:rPr>
                <w:rFonts w:asciiTheme="majorEastAsia" w:eastAsiaTheme="majorEastAsia" w:hAnsiTheme="majorEastAsia" w:hint="eastAsia"/>
                <w:color w:val="000000"/>
                <w:sz w:val="24"/>
                <w:szCs w:val="24"/>
              </w:rPr>
              <w:t>学前教育</w:t>
            </w:r>
          </w:p>
        </w:tc>
        <w:tc>
          <w:tcPr>
            <w:tcW w:w="1163"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151</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151</w:t>
            </w:r>
          </w:p>
        </w:tc>
        <w:tc>
          <w:tcPr>
            <w:tcW w:w="124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149</w:t>
            </w:r>
          </w:p>
        </w:tc>
        <w:tc>
          <w:tcPr>
            <w:tcW w:w="1305"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98.68%</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100.00%</w:t>
            </w:r>
          </w:p>
        </w:tc>
      </w:tr>
      <w:tr w:rsidR="009A0AC3">
        <w:trPr>
          <w:trHeight w:val="397"/>
          <w:jc w:val="center"/>
        </w:trPr>
        <w:tc>
          <w:tcPr>
            <w:tcW w:w="2694" w:type="dxa"/>
            <w:vAlign w:val="center"/>
          </w:tcPr>
          <w:p w:rsidR="009A0AC3" w:rsidRDefault="004F2BBB">
            <w:pPr>
              <w:spacing w:line="500" w:lineRule="exact"/>
              <w:jc w:val="left"/>
              <w:rPr>
                <w:rFonts w:asciiTheme="majorEastAsia" w:eastAsiaTheme="majorEastAsia" w:hAnsiTheme="majorEastAsia" w:cs="宋体"/>
                <w:color w:val="000000"/>
                <w:sz w:val="24"/>
                <w:szCs w:val="24"/>
              </w:rPr>
            </w:pPr>
            <w:r>
              <w:rPr>
                <w:rFonts w:asciiTheme="majorEastAsia" w:eastAsiaTheme="majorEastAsia" w:hAnsiTheme="majorEastAsia" w:hint="eastAsia"/>
                <w:color w:val="000000"/>
                <w:sz w:val="24"/>
                <w:szCs w:val="24"/>
              </w:rPr>
              <w:t>市场营销</w:t>
            </w:r>
          </w:p>
        </w:tc>
        <w:tc>
          <w:tcPr>
            <w:tcW w:w="1163"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52</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52</w:t>
            </w:r>
          </w:p>
        </w:tc>
        <w:tc>
          <w:tcPr>
            <w:tcW w:w="124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41</w:t>
            </w:r>
          </w:p>
        </w:tc>
        <w:tc>
          <w:tcPr>
            <w:tcW w:w="1305"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78.85%</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100.00%</w:t>
            </w:r>
          </w:p>
        </w:tc>
      </w:tr>
      <w:tr w:rsidR="009A0AC3">
        <w:trPr>
          <w:trHeight w:val="397"/>
          <w:jc w:val="center"/>
        </w:trPr>
        <w:tc>
          <w:tcPr>
            <w:tcW w:w="2694" w:type="dxa"/>
            <w:vAlign w:val="center"/>
          </w:tcPr>
          <w:p w:rsidR="009A0AC3" w:rsidRDefault="004F2BBB">
            <w:pPr>
              <w:spacing w:line="500" w:lineRule="exact"/>
              <w:jc w:val="left"/>
              <w:rPr>
                <w:rFonts w:asciiTheme="majorEastAsia" w:eastAsiaTheme="majorEastAsia" w:hAnsiTheme="majorEastAsia" w:cs="宋体"/>
                <w:color w:val="000000"/>
                <w:sz w:val="24"/>
                <w:szCs w:val="24"/>
              </w:rPr>
            </w:pPr>
            <w:r>
              <w:rPr>
                <w:rFonts w:asciiTheme="majorEastAsia" w:eastAsiaTheme="majorEastAsia" w:hAnsiTheme="majorEastAsia" w:hint="eastAsia"/>
                <w:color w:val="000000"/>
                <w:sz w:val="24"/>
                <w:szCs w:val="24"/>
              </w:rPr>
              <w:t>物流服务与管理</w:t>
            </w:r>
          </w:p>
        </w:tc>
        <w:tc>
          <w:tcPr>
            <w:tcW w:w="1163"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34</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34</w:t>
            </w:r>
          </w:p>
        </w:tc>
        <w:tc>
          <w:tcPr>
            <w:tcW w:w="124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28</w:t>
            </w:r>
          </w:p>
        </w:tc>
        <w:tc>
          <w:tcPr>
            <w:tcW w:w="1305"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82.35%</w:t>
            </w:r>
          </w:p>
        </w:tc>
        <w:tc>
          <w:tcPr>
            <w:tcW w:w="1276" w:type="dxa"/>
            <w:vAlign w:val="center"/>
          </w:tcPr>
          <w:p w:rsidR="009A0AC3" w:rsidRDefault="004F2BBB">
            <w:pPr>
              <w:spacing w:line="500" w:lineRule="exact"/>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100.00%</w:t>
            </w:r>
          </w:p>
        </w:tc>
      </w:tr>
    </w:tbl>
    <w:p w:rsidR="009A0AC3" w:rsidRDefault="004F2BBB">
      <w:pPr>
        <w:spacing w:line="500" w:lineRule="exact"/>
        <w:ind w:firstLineChars="200" w:firstLine="640"/>
        <w:rPr>
          <w:rFonts w:ascii="宋体" w:eastAsia="宋体" w:hAnsi="宋体" w:cs="Times New Roman"/>
          <w:sz w:val="32"/>
          <w:szCs w:val="32"/>
        </w:rPr>
      </w:pPr>
      <w:r>
        <w:rPr>
          <w:rFonts w:ascii="宋体" w:eastAsia="宋体" w:hAnsi="宋体" w:cs="Times New Roman" w:hint="eastAsia"/>
          <w:sz w:val="32"/>
          <w:szCs w:val="32"/>
        </w:rPr>
        <w:t>初次就业起薪：经调查，2016年度，学生人均初次就业起薪为2270元，2017年度，学生人均初次就业起薪为2350元左右，较2016年度略有提升。</w:t>
      </w:r>
    </w:p>
    <w:p w:rsidR="009A0AC3" w:rsidRDefault="004F2BBB">
      <w:pPr>
        <w:rPr>
          <w:rFonts w:ascii="宋体" w:eastAsia="宋体" w:hAnsi="宋体"/>
        </w:rPr>
      </w:pPr>
      <w:r>
        <w:rPr>
          <w:rFonts w:ascii="宋体" w:eastAsia="宋体" w:hAnsi="宋体" w:cs="宋体" w:hint="eastAsia"/>
          <w:color w:val="000000"/>
          <w:kern w:val="0"/>
          <w:sz w:val="32"/>
          <w:szCs w:val="32"/>
          <w:lang w:val="zh-CN"/>
        </w:rPr>
        <w:t>升入高等教育比例：为避免职业教育成为“断线教育”，学校高度重视学生升学工作，多次召开动员会为学生加油鼓劲，周到细致地为学生作报考工作，投入师资专门辅导学生，努力为学生升学圆梦营造良好环境。</w:t>
      </w:r>
      <w:r>
        <w:rPr>
          <w:rFonts w:ascii="宋体" w:eastAsia="宋体" w:hAnsi="宋体" w:cs="宋体" w:hint="eastAsia"/>
          <w:kern w:val="0"/>
          <w:sz w:val="32"/>
          <w:szCs w:val="32"/>
        </w:rPr>
        <w:t>2017年升入高一级学校的毕业生人数为664人，占毕业生人数的82.59%，其中有10名毕业生通过对口单独招生考进本科院校。与2016年相比，升入高一级学校人数明显增加，而2017年比例增加了50.11%。</w:t>
      </w:r>
    </w:p>
    <w:p w:rsidR="009A0AC3" w:rsidRDefault="004F2BBB">
      <w:pPr>
        <w:pStyle w:val="2"/>
        <w:spacing w:before="0" w:after="0" w:line="560" w:lineRule="exact"/>
        <w:ind w:firstLineChars="200" w:firstLine="640"/>
        <w:rPr>
          <w:rFonts w:ascii="宋体" w:eastAsia="宋体" w:hAnsi="宋体" w:cstheme="minorBidi"/>
          <w:b w:val="0"/>
          <w:color w:val="000000" w:themeColor="text1"/>
          <w:kern w:val="44"/>
        </w:rPr>
      </w:pPr>
      <w:bookmarkStart w:id="21" w:name="_Toc504331431"/>
      <w:bookmarkStart w:id="22" w:name="_Toc504330231"/>
      <w:r>
        <w:rPr>
          <w:rFonts w:ascii="宋体" w:eastAsia="宋体" w:hAnsi="宋体" w:cstheme="minorBidi" w:hint="eastAsia"/>
          <w:b w:val="0"/>
          <w:color w:val="000000" w:themeColor="text1"/>
          <w:kern w:val="44"/>
        </w:rPr>
        <w:t>2.5职业发展</w:t>
      </w:r>
      <w:bookmarkEnd w:id="21"/>
      <w:bookmarkEnd w:id="22"/>
    </w:p>
    <w:p w:rsidR="009A0AC3" w:rsidRDefault="004F2BBB">
      <w:pPr>
        <w:spacing w:line="500" w:lineRule="exact"/>
        <w:ind w:firstLineChars="200" w:firstLine="640"/>
        <w:rPr>
          <w:rFonts w:ascii="宋体" w:eastAsia="宋体" w:hAnsi="宋体"/>
          <w:sz w:val="32"/>
          <w:szCs w:val="32"/>
        </w:rPr>
      </w:pPr>
      <w:r>
        <w:rPr>
          <w:rFonts w:ascii="宋体" w:eastAsia="宋体" w:hAnsi="宋体" w:hint="eastAsia"/>
          <w:sz w:val="32"/>
          <w:szCs w:val="32"/>
        </w:rPr>
        <w:t>第一、积极构建校企互动机制，探索校企合作的新模式。在学习教育中强化对学生对现代企业制度认知、竞争意识、质量意识、效益观念、纪律观念的教育，使学生尽早的懂得企业职业是什么，职业做什么，职业为什么，职业靠什么，职业忌什么，增强学生对职业的认知。一是“请进来”，把企业的专业技工请进校园，做指导教师；二是“走出去”，让学生在适当时间到企业去跟班、见习，使学生亲临其境；三是“抬进来”，将</w:t>
      </w:r>
      <w:r>
        <w:rPr>
          <w:rFonts w:ascii="宋体" w:eastAsia="宋体" w:hAnsi="宋体" w:hint="eastAsia"/>
          <w:sz w:val="32"/>
          <w:szCs w:val="32"/>
        </w:rPr>
        <w:lastRenderedPageBreak/>
        <w:t>企业的现代化设备安装在校园之内，给学生提供最好、最新、最正的演练平台，使学生在技术、心里上达到上岗“零试用期”的标准。</w:t>
      </w:r>
    </w:p>
    <w:p w:rsidR="009A0AC3" w:rsidRDefault="004F2BBB">
      <w:pPr>
        <w:spacing w:line="500" w:lineRule="exact"/>
        <w:ind w:firstLineChars="200" w:firstLine="640"/>
        <w:rPr>
          <w:rFonts w:ascii="宋体" w:eastAsia="宋体" w:hAnsi="宋体"/>
          <w:sz w:val="32"/>
          <w:szCs w:val="32"/>
        </w:rPr>
      </w:pPr>
      <w:r>
        <w:rPr>
          <w:rFonts w:ascii="宋体" w:eastAsia="宋体" w:hAnsi="宋体" w:hint="eastAsia"/>
          <w:sz w:val="32"/>
          <w:szCs w:val="32"/>
        </w:rPr>
        <w:t>第二、强化教学培养模式。一是校企共建教学实训中心。和广西众加赢电子商务有限公司、百世汇通快递、圆通快递等多家企业建立教学实训中心，学生在实训中心进行全景式实操；二是各专业建立功能完善的实训室，实训内容与岗位对接，理实一体化，革除传统的“讲台—粉笔—板书”模式；三是强化教育和熏陶，大力加强企业精神与艰苦创业、企业经营之道与经营理念、成才之路与价值取向、诚实守信与人品情操、人际关系与交往原则、岗位技能与创新能力等到方面的教育。</w:t>
      </w:r>
    </w:p>
    <w:p w:rsidR="009A0AC3" w:rsidRDefault="004F2BBB">
      <w:pPr>
        <w:spacing w:line="560" w:lineRule="exact"/>
        <w:ind w:firstLineChars="200" w:firstLine="640"/>
        <w:rPr>
          <w:rFonts w:ascii="宋体" w:eastAsia="宋体" w:hAnsi="宋体"/>
          <w:color w:val="000000" w:themeColor="text1"/>
          <w:sz w:val="32"/>
          <w:szCs w:val="32"/>
        </w:rPr>
      </w:pPr>
      <w:r>
        <w:rPr>
          <w:rFonts w:ascii="宋体" w:eastAsia="宋体" w:hAnsi="宋体" w:hint="eastAsia"/>
          <w:sz w:val="32"/>
          <w:szCs w:val="32"/>
        </w:rPr>
        <w:t>第三、帮助学生树立正确的职业意识。从新生入校的第一天起，加强对学生进行就业理念的训练和培养，不断强化学生的职业意识。一是作好职业引导，使学生关心行业发展大事，关注专业发展方向，激发专业学习兴趣。二是开设《职业生涯规划》课，使学生憧憬未来职业，树立职业理想，勾勒职业蓝图，从而端正学习态度。三是加强职业道德教育，使用权学生懂得职业义务，尊崇职业良心，追求职业荣誉，明确职业纪律，自觉养成职业责任感和遵章守纪的良好习惯。四是邀请优秀毕业生回校做就业创业报告。榜样的力量是无穷的，通过优秀毕业生的就业创业经历，用他们自强不息、勇于创业的奋斗精神，鼓舞学生去闯出未来自己的一片天空。</w:t>
      </w:r>
    </w:p>
    <w:p w:rsidR="009A0AC3" w:rsidRDefault="004F2BBB">
      <w:pPr>
        <w:pStyle w:val="1"/>
        <w:spacing w:before="0" w:after="0" w:line="560" w:lineRule="exact"/>
        <w:ind w:firstLineChars="200" w:firstLine="643"/>
        <w:rPr>
          <w:rFonts w:asciiTheme="minorEastAsia" w:hAnsiTheme="minorEastAsia"/>
          <w:sz w:val="32"/>
          <w:szCs w:val="32"/>
        </w:rPr>
      </w:pPr>
      <w:bookmarkStart w:id="23" w:name="_Toc504330232"/>
      <w:bookmarkStart w:id="24" w:name="_Toc504331432"/>
      <w:r>
        <w:rPr>
          <w:rFonts w:asciiTheme="minorEastAsia" w:hAnsiTheme="minorEastAsia" w:hint="eastAsia"/>
          <w:sz w:val="32"/>
          <w:szCs w:val="32"/>
        </w:rPr>
        <w:t>3.质量保障措施</w:t>
      </w:r>
      <w:bookmarkEnd w:id="23"/>
      <w:bookmarkEnd w:id="24"/>
    </w:p>
    <w:p w:rsidR="009A0AC3" w:rsidRDefault="004F2BBB">
      <w:pPr>
        <w:pStyle w:val="2"/>
        <w:spacing w:before="0" w:after="0" w:line="560" w:lineRule="exact"/>
        <w:ind w:firstLineChars="200" w:firstLine="640"/>
        <w:rPr>
          <w:rFonts w:asciiTheme="minorEastAsia" w:eastAsiaTheme="minorEastAsia" w:hAnsiTheme="minorEastAsia" w:cstheme="minorBidi"/>
          <w:b w:val="0"/>
          <w:kern w:val="44"/>
        </w:rPr>
      </w:pPr>
      <w:bookmarkStart w:id="25" w:name="_Toc504331433"/>
      <w:bookmarkStart w:id="26" w:name="_Toc504330233"/>
      <w:r>
        <w:rPr>
          <w:rFonts w:asciiTheme="minorEastAsia" w:eastAsiaTheme="minorEastAsia" w:hAnsiTheme="minorEastAsia" w:cstheme="minorBidi" w:hint="eastAsia"/>
          <w:b w:val="0"/>
          <w:kern w:val="44"/>
        </w:rPr>
        <w:t>3.1专业动态调整</w:t>
      </w:r>
      <w:bookmarkEnd w:id="25"/>
      <w:bookmarkEnd w:id="26"/>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专业结构调整：围绕现代农业及农村电子商务的发展，制</w:t>
      </w:r>
      <w:r>
        <w:rPr>
          <w:rFonts w:asciiTheme="minorEastAsia" w:hAnsiTheme="minorEastAsia" w:hint="eastAsia"/>
          <w:sz w:val="32"/>
          <w:szCs w:val="32"/>
        </w:rPr>
        <w:lastRenderedPageBreak/>
        <w:t>定专业发展规划，通过动态调整机制，调整优化专业结构；以优势特色专业为核心，着力打造现代商贸类专业群（电子商务、会计、物流、市场营销）、信息技术类专业群（计算机应用、网络、数码产品维修、美术设计）2大优势特色专业群，调整专业核心课程。</w:t>
      </w:r>
    </w:p>
    <w:p w:rsidR="009A0AC3" w:rsidRDefault="004F2BBB">
      <w:pPr>
        <w:spacing w:line="560" w:lineRule="exact"/>
        <w:ind w:firstLineChars="200" w:firstLine="640"/>
        <w:rPr>
          <w:rFonts w:asciiTheme="minorEastAsia" w:hAnsiTheme="minorEastAsia"/>
          <w:sz w:val="32"/>
          <w:szCs w:val="32"/>
          <w:highlight w:val="magenta"/>
        </w:rPr>
      </w:pPr>
      <w:r>
        <w:rPr>
          <w:rFonts w:asciiTheme="minorEastAsia" w:hAnsiTheme="minorEastAsia" w:hint="eastAsia"/>
          <w:sz w:val="32"/>
          <w:szCs w:val="32"/>
        </w:rPr>
        <w:t>人才培养方案调整：学校在充分调研基础上，与企业合作修订完善9个专业的人才培养方案和专业课程体系，新课程体系包括文化基础、专业基础、专业方向和专业拓展等课程。</w:t>
      </w:r>
    </w:p>
    <w:p w:rsidR="009A0AC3" w:rsidRDefault="004F2BBB">
      <w:pPr>
        <w:pStyle w:val="2"/>
        <w:spacing w:before="0" w:after="0" w:line="560" w:lineRule="exact"/>
        <w:ind w:firstLineChars="200" w:firstLine="640"/>
        <w:rPr>
          <w:rFonts w:asciiTheme="minorEastAsia" w:eastAsiaTheme="minorEastAsia" w:hAnsiTheme="minorEastAsia" w:cstheme="minorBidi"/>
          <w:b w:val="0"/>
          <w:kern w:val="44"/>
        </w:rPr>
      </w:pPr>
      <w:bookmarkStart w:id="27" w:name="_Toc504331434"/>
      <w:bookmarkStart w:id="28" w:name="_Toc504330234"/>
      <w:r>
        <w:rPr>
          <w:rFonts w:asciiTheme="minorEastAsia" w:eastAsiaTheme="minorEastAsia" w:hAnsiTheme="minorEastAsia" w:cstheme="minorBidi" w:hint="eastAsia"/>
          <w:b w:val="0"/>
          <w:kern w:val="44"/>
        </w:rPr>
        <w:t>3.2教育教学改革</w:t>
      </w:r>
      <w:bookmarkEnd w:id="27"/>
      <w:bookmarkEnd w:id="28"/>
    </w:p>
    <w:p w:rsidR="009A0AC3" w:rsidRDefault="004F2BBB">
      <w:pPr>
        <w:spacing w:line="560" w:lineRule="exact"/>
        <w:ind w:firstLineChars="200" w:firstLine="640"/>
        <w:rPr>
          <w:rFonts w:asciiTheme="minorEastAsia" w:hAnsiTheme="minorEastAsia" w:cs="Times New Roman"/>
          <w:sz w:val="32"/>
          <w:szCs w:val="32"/>
        </w:rPr>
      </w:pPr>
      <w:r>
        <w:rPr>
          <w:rFonts w:asciiTheme="minorEastAsia" w:hAnsiTheme="minorEastAsia" w:hint="eastAsia"/>
          <w:sz w:val="32"/>
          <w:szCs w:val="32"/>
        </w:rPr>
        <w:t>人才培养模式改革：</w:t>
      </w:r>
      <w:r>
        <w:rPr>
          <w:rFonts w:asciiTheme="minorEastAsia" w:hAnsiTheme="minorEastAsia" w:cs="Times New Roman" w:hint="eastAsia"/>
          <w:sz w:val="32"/>
          <w:szCs w:val="32"/>
        </w:rPr>
        <w:t>学校与广西交投集团、北投集团、中国石油等企业合作成立冠名班，共同制订人才培养方案、共同制订教学计划，共同培养学生，推行现代学徒制，实施以岗位能力为核心工学一体人才培养模式，改革学生评价机制，将企业评价纳入学生成绩管理，实行“订单”式培养技术技能人才。</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学校公共基础课：学校根据广西中等职业学校专业示范性教学方案，开齐开足开好德育、语文、数学、英语、体育与健康、艺术、计算机应用基础等文化基础课程，并按照各学科大纲要求，增加实践能力测试，提高学生科学文化素养，为学生全面发展夯实文化基础。</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专业设置：目前，学校设有2个专业群9个专业。面向北部湾经济开发区、钦州中马产业园区、钦州保税港区等千亿产业链中的信息技术、现代服务等产业，以会计、电子商务专业为龙头，设立财经商贸类专业群；以计算机应用为龙头设立信息技术类专业群，见图表4。</w:t>
      </w:r>
    </w:p>
    <w:p w:rsidR="009A0AC3" w:rsidRDefault="009A0AC3">
      <w:pPr>
        <w:spacing w:line="560" w:lineRule="exact"/>
        <w:ind w:firstLineChars="200" w:firstLine="640"/>
        <w:rPr>
          <w:rFonts w:asciiTheme="minorEastAsia" w:hAnsiTheme="minorEastAsia"/>
          <w:sz w:val="32"/>
          <w:szCs w:val="32"/>
        </w:rPr>
      </w:pPr>
    </w:p>
    <w:p w:rsidR="009A0AC3" w:rsidRDefault="009A0AC3">
      <w:pPr>
        <w:spacing w:line="560" w:lineRule="exact"/>
        <w:ind w:firstLineChars="200" w:firstLine="640"/>
        <w:rPr>
          <w:rFonts w:asciiTheme="minorEastAsia" w:hAnsiTheme="minorEastAsia"/>
          <w:sz w:val="32"/>
          <w:szCs w:val="32"/>
        </w:rPr>
      </w:pPr>
    </w:p>
    <w:p w:rsidR="009A0AC3" w:rsidRDefault="004F2BBB">
      <w:pPr>
        <w:spacing w:line="560" w:lineRule="exact"/>
        <w:ind w:firstLineChars="133" w:firstLine="426"/>
        <w:rPr>
          <w:rFonts w:asciiTheme="minorEastAsia" w:hAnsiTheme="minorEastAsia" w:cs="Times New Roman"/>
          <w:sz w:val="32"/>
          <w:szCs w:val="32"/>
          <w:highlight w:val="magenta"/>
        </w:rPr>
      </w:pPr>
      <w:r>
        <w:rPr>
          <w:rFonts w:asciiTheme="minorEastAsia" w:hAnsiTheme="minorEastAsia"/>
          <w:noProof/>
          <w:sz w:val="32"/>
          <w:szCs w:val="32"/>
          <w:highlight w:val="magenta"/>
        </w:rPr>
        <w:drawing>
          <wp:anchor distT="0" distB="0" distL="114300" distR="114300" simplePos="0" relativeHeight="251661312" behindDoc="0" locked="0" layoutInCell="1" allowOverlap="1">
            <wp:simplePos x="0" y="0"/>
            <wp:positionH relativeFrom="column">
              <wp:posOffset>366395</wp:posOffset>
            </wp:positionH>
            <wp:positionV relativeFrom="paragraph">
              <wp:posOffset>99695</wp:posOffset>
            </wp:positionV>
            <wp:extent cx="5353050" cy="2381250"/>
            <wp:effectExtent l="38100" t="38100" r="171450" b="19050"/>
            <wp:wrapNone/>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9A0AC3" w:rsidRDefault="009A0AC3">
      <w:pPr>
        <w:spacing w:line="560" w:lineRule="exact"/>
        <w:ind w:firstLineChars="133" w:firstLine="426"/>
        <w:rPr>
          <w:rFonts w:asciiTheme="minorEastAsia" w:hAnsiTheme="minorEastAsia" w:cs="Times New Roman"/>
          <w:sz w:val="32"/>
          <w:szCs w:val="32"/>
          <w:highlight w:val="magenta"/>
        </w:rPr>
      </w:pPr>
    </w:p>
    <w:p w:rsidR="009A0AC3" w:rsidRDefault="009A0AC3">
      <w:pPr>
        <w:spacing w:line="560" w:lineRule="exact"/>
        <w:ind w:firstLineChars="150" w:firstLine="482"/>
        <w:rPr>
          <w:rFonts w:asciiTheme="minorEastAsia" w:hAnsiTheme="minorEastAsia"/>
          <w:b/>
          <w:sz w:val="32"/>
          <w:szCs w:val="32"/>
          <w:highlight w:val="magenta"/>
        </w:rPr>
      </w:pPr>
    </w:p>
    <w:p w:rsidR="009A0AC3" w:rsidRDefault="009A0AC3">
      <w:pPr>
        <w:spacing w:line="560" w:lineRule="exact"/>
        <w:ind w:firstLineChars="150" w:firstLine="482"/>
        <w:rPr>
          <w:rFonts w:asciiTheme="minorEastAsia" w:hAnsiTheme="minorEastAsia"/>
          <w:b/>
          <w:sz w:val="32"/>
          <w:szCs w:val="32"/>
          <w:highlight w:val="magenta"/>
        </w:rPr>
      </w:pPr>
    </w:p>
    <w:p w:rsidR="009A0AC3" w:rsidRDefault="009A0AC3">
      <w:pPr>
        <w:spacing w:line="560" w:lineRule="exact"/>
        <w:ind w:firstLineChars="150" w:firstLine="482"/>
        <w:rPr>
          <w:rFonts w:asciiTheme="minorEastAsia" w:hAnsiTheme="minorEastAsia"/>
          <w:b/>
          <w:sz w:val="32"/>
          <w:szCs w:val="32"/>
          <w:highlight w:val="magenta"/>
        </w:rPr>
      </w:pPr>
    </w:p>
    <w:p w:rsidR="009A0AC3" w:rsidRDefault="009A0AC3">
      <w:pPr>
        <w:spacing w:line="560" w:lineRule="exact"/>
        <w:ind w:firstLineChars="150" w:firstLine="482"/>
        <w:rPr>
          <w:rFonts w:asciiTheme="minorEastAsia" w:hAnsiTheme="minorEastAsia"/>
          <w:b/>
          <w:sz w:val="32"/>
          <w:szCs w:val="32"/>
          <w:highlight w:val="magenta"/>
        </w:rPr>
      </w:pPr>
    </w:p>
    <w:p w:rsidR="009A0AC3" w:rsidRDefault="009A0AC3">
      <w:pPr>
        <w:spacing w:line="560" w:lineRule="exact"/>
        <w:ind w:firstLineChars="150" w:firstLine="482"/>
        <w:rPr>
          <w:rFonts w:asciiTheme="minorEastAsia" w:hAnsiTheme="minorEastAsia"/>
          <w:b/>
          <w:sz w:val="32"/>
          <w:szCs w:val="32"/>
          <w:highlight w:val="magenta"/>
        </w:rPr>
      </w:pPr>
    </w:p>
    <w:p w:rsidR="009A0AC3" w:rsidRDefault="004F2BBB">
      <w:pPr>
        <w:spacing w:line="560" w:lineRule="exact"/>
        <w:ind w:firstLineChars="750" w:firstLine="1800"/>
        <w:rPr>
          <w:rFonts w:asciiTheme="minorEastAsia" w:hAnsiTheme="minorEastAsia"/>
          <w:b/>
          <w:sz w:val="24"/>
          <w:szCs w:val="24"/>
        </w:rPr>
      </w:pPr>
      <w:r>
        <w:rPr>
          <w:rFonts w:asciiTheme="minorEastAsia" w:hAnsiTheme="minorEastAsia" w:hint="eastAsia"/>
          <w:sz w:val="24"/>
          <w:szCs w:val="24"/>
        </w:rPr>
        <w:t>图表4：  2017年度专业设置框架图</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师资队伍：学校把提高师资水平作为保障教育质量、保持可持续发展的关键，通过采取“校企互通”的教师队伍建设模式，积极为教师创造良好成长环境。</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第一、充实师资队伍。2017年共招聘教师11人，本科学历。通过今年的人才招聘有效地缓解今年招生规模扩大带来师资紧缺的压力。</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第二、“双师型”教师引领。鼓励青年教师积极参加企业实践，申报广西中等职业学校“双师型”教师。2017年共有33名教师被教育厅认定为双师型教师，其中高级1人，中级23人，初级9人。发放双师型教师津贴100元/月。</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第三、深化绩效工资改革，完善激励机制。提高绩效工资总量。2017年人均绩效工资为6.1万，比2016年增长19.6%。修订完善了《广西钦州商贸学校绩效工资分配实施办法（修订）》，完善相关奖罚制度。分配制度完善与制订更加注重绩效考核、</w:t>
      </w:r>
      <w:r>
        <w:rPr>
          <w:rFonts w:asciiTheme="minorEastAsia" w:hAnsiTheme="minorEastAsia" w:hint="eastAsia"/>
          <w:sz w:val="32"/>
          <w:szCs w:val="32"/>
        </w:rPr>
        <w:lastRenderedPageBreak/>
        <w:t>按劳分配、优绩优酬的原则，重点向一线教师倾斜。以教职工实际贡献为依据，搞活内部分配，完善与岗位职责、工作业绩、实际贡献紧密联系和鼓励创新的分配激励机制。</w:t>
      </w:r>
    </w:p>
    <w:p w:rsidR="009A0AC3" w:rsidRDefault="004F2BBB">
      <w:pPr>
        <w:spacing w:line="560" w:lineRule="exact"/>
        <w:ind w:firstLineChars="200" w:firstLine="640"/>
        <w:rPr>
          <w:rFonts w:asciiTheme="minorEastAsia" w:hAnsiTheme="minorEastAsia" w:cs="Times New Roman"/>
          <w:sz w:val="32"/>
          <w:szCs w:val="32"/>
          <w:highlight w:val="magenta"/>
        </w:rPr>
      </w:pPr>
      <w:r>
        <w:rPr>
          <w:rFonts w:asciiTheme="minorEastAsia" w:hAnsiTheme="minorEastAsia" w:hint="eastAsia"/>
          <w:sz w:val="32"/>
          <w:szCs w:val="32"/>
        </w:rPr>
        <w:t>课程建设：</w:t>
      </w:r>
      <w:r>
        <w:rPr>
          <w:rFonts w:asciiTheme="minorEastAsia" w:hAnsiTheme="minorEastAsia" w:cs="Times New Roman" w:hint="eastAsia"/>
          <w:sz w:val="32"/>
          <w:szCs w:val="32"/>
        </w:rPr>
        <w:t>学校建成了以岗位为导向、以典型工作项目为主体的模块化项目化全新课程体系，主要包括公共基础课、专业基础课程、专业技能课程和拓展素质课程。近年来，学校完成《计算机应用基础》、《基础会计》、《移动电商》等校本教材。修订了《职业道德与法律》、《基础会计》、《计算机应用基础》、《学前儿童发展心理学》等32门课程标准。</w:t>
      </w:r>
    </w:p>
    <w:p w:rsidR="009A0AC3" w:rsidRDefault="004F2BBB">
      <w:pPr>
        <w:spacing w:line="540" w:lineRule="exact"/>
        <w:ind w:firstLineChars="200" w:firstLine="640"/>
        <w:rPr>
          <w:rFonts w:asciiTheme="minorEastAsia" w:hAnsiTheme="minorEastAsia"/>
          <w:b/>
          <w:sz w:val="32"/>
          <w:szCs w:val="32"/>
        </w:rPr>
      </w:pPr>
      <w:r>
        <w:rPr>
          <w:rFonts w:asciiTheme="minorEastAsia" w:hAnsiTheme="minorEastAsia" w:hint="eastAsia"/>
          <w:sz w:val="32"/>
          <w:szCs w:val="32"/>
        </w:rPr>
        <w:t>信息化教学：学校</w:t>
      </w:r>
      <w:r>
        <w:rPr>
          <w:rFonts w:asciiTheme="minorEastAsia" w:hAnsiTheme="minorEastAsia" w:cs="Times New Roman" w:hint="eastAsia"/>
          <w:sz w:val="32"/>
          <w:szCs w:val="32"/>
        </w:rPr>
        <w:t>定期组织教师参加校内外信息技术培训。教务科根据教师实际每学期制定培训主题，分专业进行电子白板、微课制作培训、微课程建设等培训，提高教师信息化运用水平和网络课程建设水平。每年选派骨干教师外出参加信息化教学培训。每学年通过校内比赛的方式举行信息化教学比赛，设立奖项，并推选优胜者参加自治区级比赛。2017年，学校有6名教师在自治区级比赛中获奖。</w:t>
      </w:r>
    </w:p>
    <w:p w:rsidR="009A0AC3" w:rsidRDefault="004F2BBB">
      <w:pPr>
        <w:spacing w:line="540" w:lineRule="exact"/>
        <w:ind w:firstLineChars="200" w:firstLine="640"/>
        <w:rPr>
          <w:rFonts w:asciiTheme="minorEastAsia" w:hAnsiTheme="minorEastAsia"/>
          <w:b/>
          <w:sz w:val="32"/>
          <w:szCs w:val="32"/>
        </w:rPr>
      </w:pPr>
      <w:r>
        <w:rPr>
          <w:rFonts w:asciiTheme="minorEastAsia" w:hAnsiTheme="minorEastAsia" w:hint="eastAsia"/>
          <w:sz w:val="32"/>
          <w:szCs w:val="32"/>
        </w:rPr>
        <w:t>实训基地：</w:t>
      </w:r>
      <w:r>
        <w:rPr>
          <w:rFonts w:asciiTheme="minorEastAsia" w:hAnsiTheme="minorEastAsia" w:cs="Times New Roman" w:hint="eastAsia"/>
          <w:sz w:val="32"/>
          <w:szCs w:val="32"/>
        </w:rPr>
        <w:t>学校建有专业实训室40个，校企共同投资建成电子商务实训基地1个，建有计算机应用、会计自治区示范性实训基地2个。</w:t>
      </w:r>
    </w:p>
    <w:p w:rsidR="009A0AC3" w:rsidRDefault="004F2BBB">
      <w:pPr>
        <w:spacing w:line="540" w:lineRule="exact"/>
        <w:ind w:firstLineChars="200" w:firstLine="640"/>
        <w:rPr>
          <w:rFonts w:asciiTheme="minorEastAsia" w:hAnsiTheme="minorEastAsia"/>
          <w:sz w:val="32"/>
          <w:szCs w:val="32"/>
        </w:rPr>
      </w:pPr>
      <w:r>
        <w:rPr>
          <w:rFonts w:asciiTheme="minorEastAsia" w:hAnsiTheme="minorEastAsia" w:hint="eastAsia"/>
          <w:sz w:val="32"/>
          <w:szCs w:val="32"/>
        </w:rPr>
        <w:t>教学资源建设：</w:t>
      </w:r>
      <w:r>
        <w:rPr>
          <w:rFonts w:asciiTheme="minorEastAsia" w:hAnsiTheme="minorEastAsia" w:cs="Times New Roman" w:hint="eastAsia"/>
          <w:sz w:val="32"/>
          <w:szCs w:val="32"/>
        </w:rPr>
        <w:t>学校</w:t>
      </w:r>
      <w:r>
        <w:rPr>
          <w:rFonts w:asciiTheme="minorEastAsia" w:hAnsiTheme="minorEastAsia" w:hint="eastAsia"/>
          <w:sz w:val="32"/>
          <w:szCs w:val="32"/>
        </w:rPr>
        <w:t>建有数字化教学平台，含网络教学中心、专业资源库中心。学校制定数字化资源建设实施方案，优化专业教学资源，以课程为单位进行资源库管理，实现资源的常用常新。</w:t>
      </w:r>
    </w:p>
    <w:p w:rsidR="009A0AC3" w:rsidRDefault="004F2BBB">
      <w:pPr>
        <w:spacing w:line="540" w:lineRule="exact"/>
        <w:ind w:firstLineChars="200" w:firstLine="640"/>
        <w:rPr>
          <w:rFonts w:asciiTheme="minorEastAsia" w:hAnsiTheme="minorEastAsia"/>
          <w:sz w:val="32"/>
          <w:szCs w:val="32"/>
        </w:rPr>
      </w:pPr>
      <w:r>
        <w:rPr>
          <w:rFonts w:asciiTheme="minorEastAsia" w:hAnsiTheme="minorEastAsia" w:hint="eastAsia"/>
          <w:sz w:val="32"/>
          <w:szCs w:val="32"/>
        </w:rPr>
        <w:t>教材选用：学生用书严格按照教育厅文件要求，选用国家、</w:t>
      </w:r>
      <w:r>
        <w:rPr>
          <w:rFonts w:asciiTheme="minorEastAsia" w:hAnsiTheme="minorEastAsia" w:hint="eastAsia"/>
          <w:sz w:val="32"/>
          <w:szCs w:val="32"/>
        </w:rPr>
        <w:lastRenderedPageBreak/>
        <w:t>自治区颁布的教学用书目录规定教材（国家规划教材），专业课用书由教研室提出并经主管副校长同意，由教务科统一征订。</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专业建设成果：学校现拥有2个自治区级示范专业，2个校级重点发展专业。</w:t>
      </w:r>
    </w:p>
    <w:p w:rsidR="009A0AC3" w:rsidRDefault="004F2BBB">
      <w:pPr>
        <w:pStyle w:val="2"/>
        <w:spacing w:before="0" w:after="0" w:line="560" w:lineRule="exact"/>
        <w:ind w:firstLineChars="200" w:firstLine="640"/>
        <w:rPr>
          <w:rFonts w:asciiTheme="minorEastAsia" w:eastAsiaTheme="minorEastAsia" w:hAnsiTheme="minorEastAsia" w:cstheme="minorBidi"/>
          <w:b w:val="0"/>
          <w:kern w:val="44"/>
        </w:rPr>
      </w:pPr>
      <w:bookmarkStart w:id="29" w:name="_Toc504330235"/>
      <w:bookmarkStart w:id="30" w:name="_Toc504331435"/>
      <w:r>
        <w:rPr>
          <w:rFonts w:asciiTheme="minorEastAsia" w:eastAsiaTheme="minorEastAsia" w:hAnsiTheme="minorEastAsia" w:cstheme="minorBidi" w:hint="eastAsia"/>
          <w:b w:val="0"/>
          <w:kern w:val="44"/>
        </w:rPr>
        <w:t>3.3教师培养培训</w:t>
      </w:r>
      <w:bookmarkEnd w:id="29"/>
      <w:bookmarkEnd w:id="30"/>
    </w:p>
    <w:p w:rsidR="009A0AC3" w:rsidRDefault="004F2BBB">
      <w:pPr>
        <w:spacing w:line="560" w:lineRule="exact"/>
        <w:ind w:firstLineChars="200" w:firstLine="640"/>
        <w:rPr>
          <w:rFonts w:asciiTheme="minorEastAsia" w:hAnsiTheme="minorEastAsia" w:cs="Times New Roman"/>
          <w:sz w:val="32"/>
          <w:szCs w:val="32"/>
          <w:highlight w:val="magenta"/>
        </w:rPr>
      </w:pPr>
      <w:r>
        <w:rPr>
          <w:rFonts w:asciiTheme="minorEastAsia" w:hAnsiTheme="minorEastAsia" w:hint="eastAsia"/>
          <w:sz w:val="32"/>
          <w:szCs w:val="32"/>
        </w:rPr>
        <w:t>教师业务培训常态化。2017年对新入职的11位教师开展岗前培训及对全体教师进行信息技术能力培训；先后派出5人参加教育厅组织的专业技能培训（国培），39人参加2017年教师素质提高培；今年共选派19名教师利用寒暑假到企业（或实训基地）实践锻炼；组织教师参加技能比赛。2017年广西中等职业学校教师技能比赛一等奖1人，二等奖3人，三等奖4人；广西现代商贸职业教育集团职业院校教师教学比赛二等奖3人，三等奖3人；广西职业院校信息化教学大赛三等奖6人；钦州市学前教育教师职业技能大赛二等奖1人。</w:t>
      </w:r>
    </w:p>
    <w:p w:rsidR="009A0AC3" w:rsidRDefault="004F2BBB">
      <w:pPr>
        <w:spacing w:line="560" w:lineRule="exact"/>
        <w:ind w:firstLineChars="200" w:firstLine="640"/>
        <w:jc w:val="left"/>
        <w:rPr>
          <w:rFonts w:asciiTheme="minorEastAsia" w:hAnsiTheme="minorEastAsia"/>
          <w:sz w:val="32"/>
          <w:szCs w:val="32"/>
        </w:rPr>
      </w:pPr>
      <w:r>
        <w:rPr>
          <w:rFonts w:asciiTheme="minorEastAsia" w:hAnsiTheme="minorEastAsia" w:hint="eastAsia"/>
          <w:sz w:val="32"/>
          <w:szCs w:val="32"/>
        </w:rPr>
        <w:t>加强班主任培训：学校坚持班主任例会制度，举行班主任论坛、班主任座谈会。组织全体班主任外出拓展训练，提升班主任团队凝聚力。组织优秀班主任到企业参观学习，选派10名优秀班主任参加中职骨干班主任培训学习，提高了班主任的德育管理水平和服务学生意识。</w:t>
      </w:r>
    </w:p>
    <w:p w:rsidR="009A0AC3" w:rsidRDefault="004F2BBB">
      <w:pPr>
        <w:widowControl/>
        <w:shd w:val="clear" w:color="auto" w:fill="FFFFFF"/>
        <w:spacing w:line="560" w:lineRule="exact"/>
        <w:ind w:firstLineChars="200" w:firstLine="640"/>
        <w:jc w:val="left"/>
        <w:rPr>
          <w:rFonts w:asciiTheme="minorEastAsia" w:hAnsiTheme="minorEastAsia"/>
          <w:sz w:val="32"/>
          <w:szCs w:val="32"/>
        </w:rPr>
      </w:pPr>
      <w:r>
        <w:rPr>
          <w:rFonts w:asciiTheme="minorEastAsia" w:hAnsiTheme="minorEastAsia" w:hint="eastAsia"/>
          <w:sz w:val="32"/>
          <w:szCs w:val="32"/>
        </w:rPr>
        <w:t>教师到企业挂职实践：根据教育部《职业院校教师素质提升培训计划》要求，学校制定了《关于外派教师到企事业单位挂职学习的意见》，安排教师到企业挂职学习，每两年不少于2个月，以满足专业技能教学需要。2017年度，到企业挂职学习的教师达32人。</w:t>
      </w:r>
    </w:p>
    <w:p w:rsidR="009A0AC3" w:rsidRDefault="004F2BBB">
      <w:pPr>
        <w:pStyle w:val="2"/>
        <w:spacing w:before="0" w:after="0" w:line="560" w:lineRule="exact"/>
        <w:ind w:firstLineChars="200" w:firstLine="640"/>
        <w:rPr>
          <w:rFonts w:asciiTheme="minorEastAsia" w:eastAsiaTheme="minorEastAsia" w:hAnsiTheme="minorEastAsia" w:cstheme="minorBidi"/>
          <w:b w:val="0"/>
          <w:kern w:val="44"/>
        </w:rPr>
      </w:pPr>
      <w:bookmarkStart w:id="31" w:name="_Toc504330236"/>
      <w:bookmarkStart w:id="32" w:name="_Toc504331436"/>
      <w:r>
        <w:rPr>
          <w:rFonts w:asciiTheme="minorEastAsia" w:eastAsiaTheme="minorEastAsia" w:hAnsiTheme="minorEastAsia" w:cstheme="minorBidi" w:hint="eastAsia"/>
          <w:b w:val="0"/>
          <w:kern w:val="44"/>
        </w:rPr>
        <w:lastRenderedPageBreak/>
        <w:t>3.4规范管理情况</w:t>
      </w:r>
      <w:bookmarkEnd w:id="31"/>
      <w:bookmarkEnd w:id="32"/>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教学管理：建立完善教学质量监控体系。学校制定并不断完善教育教学质量监测实施办法，建立了以学校为核心、第三方参与的人才培养质量评价机制，以教学效果评价教师、以素质能力评价学生,以社会贡献评价学校。2017年，学校制订（修订）了《广西钦州商贸学校教学管理规程》、《广西钦州商贸学校绩效工资分配实施办法（修订）》、《广西钦州商贸学校“双师型”教师资格认定及管理办法（试行）》、《广西钦州商贸学校公开招聘实施方案》、《广西钦州商贸学校教研组工作规范和教研组长考核奖励办法》、《广西钦州商贸学校技术人员考核暂行办法》、《广西钦州商贸学校教师奖惩规定（试行）》。实行学生评教，召开师生教学座谈评议会。通过完善的规章制度及监控机制，提高教师教学质量及人才培养质量。</w:t>
      </w:r>
    </w:p>
    <w:p w:rsidR="009A0AC3" w:rsidRDefault="004F2BBB">
      <w:pPr>
        <w:spacing w:line="560" w:lineRule="exact"/>
        <w:ind w:firstLineChars="200" w:firstLine="640"/>
        <w:jc w:val="left"/>
        <w:rPr>
          <w:rFonts w:asciiTheme="minorEastAsia" w:hAnsiTheme="minorEastAsia"/>
          <w:sz w:val="32"/>
          <w:szCs w:val="32"/>
        </w:rPr>
      </w:pPr>
      <w:r>
        <w:rPr>
          <w:rFonts w:asciiTheme="minorEastAsia" w:hAnsiTheme="minorEastAsia" w:cs="Times New Roman" w:hint="eastAsia"/>
          <w:sz w:val="32"/>
          <w:szCs w:val="32"/>
        </w:rPr>
        <w:t>学生管理：</w:t>
      </w:r>
      <w:r>
        <w:rPr>
          <w:rFonts w:asciiTheme="minorEastAsia" w:hAnsiTheme="minorEastAsia" w:hint="eastAsia"/>
          <w:sz w:val="32"/>
          <w:szCs w:val="32"/>
        </w:rPr>
        <w:t>学校以《广西钦州商贸学校学生管理手册》为标准，坚持严格要求，精细化管理，做好教室、宿舍、卫生、校园秩序等学生常规管理工作。一是充分利用学生科和班主任的管理职能，进一步深化学生的养成教育，通过学生大会、主题班会及各种相关班团活动等，营造良好的校风和学风。二是举办各种丰富多彩的文体活动，使学生寓学于乐,既增长了技能，又开阔了视野、陶冶了情操。三是加强检查监督。采取日常检查与突击检查并举、学校管理与学生自我管理并重的方法，使学生在“被管”中养成自觉，在“自管”中快乐成长。四是加强学生社团管理，以社团活动为载体，打造五彩缤纷的校园文化。五是奖惩分明，采取软硬兼施、恩威并重的管理办法，对</w:t>
      </w:r>
      <w:r>
        <w:rPr>
          <w:rFonts w:asciiTheme="minorEastAsia" w:hAnsiTheme="minorEastAsia" w:hint="eastAsia"/>
          <w:sz w:val="32"/>
          <w:szCs w:val="32"/>
        </w:rPr>
        <w:lastRenderedPageBreak/>
        <w:t>品学兼优者给予奖励，对违纪违规者严肃处理。六是推行以人为本、以情为重的教育模式，建立长效性的家校联系制度。为创建文明和谐的校园提供了良好条件，取得了良好的效果。</w:t>
      </w:r>
    </w:p>
    <w:p w:rsidR="009A0AC3" w:rsidRDefault="004F2BBB">
      <w:pPr>
        <w:spacing w:line="560" w:lineRule="exact"/>
        <w:ind w:firstLineChars="200" w:firstLine="640"/>
        <w:jc w:val="left"/>
        <w:rPr>
          <w:rFonts w:asciiTheme="minorEastAsia" w:hAnsiTheme="minorEastAsia"/>
          <w:sz w:val="32"/>
          <w:szCs w:val="32"/>
        </w:rPr>
      </w:pPr>
      <w:r>
        <w:rPr>
          <w:rFonts w:asciiTheme="minorEastAsia" w:hAnsiTheme="minorEastAsia" w:hint="eastAsia"/>
          <w:sz w:val="32"/>
          <w:szCs w:val="32"/>
        </w:rPr>
        <w:t>财务管理：</w:t>
      </w:r>
      <w:r>
        <w:rPr>
          <w:rFonts w:asciiTheme="minorEastAsia" w:hAnsiTheme="minorEastAsia" w:cs="Arial" w:hint="eastAsia"/>
          <w:sz w:val="32"/>
          <w:szCs w:val="32"/>
        </w:rPr>
        <w:t>财会科修订和完善了相关财务管理制度，学校一切开支管理严格按照制度进行。做到账目日清月结，收支平衡，开支合理，不定期向学校相关领导汇报财务工作，做好学校财务工作。在购物、出差等方面严格履行审批手续，实行公务卡报账管理制度，涉及到政府采购的，严格按照政府采购的程序进行。实行校长一支笔审批制度，购物单据需正式发票，有经手人签字，验收人签字，分管领导签字，校长批示方可生效。认真贯彻执行《会计法》和区财政厅、教育局下达的有关文件精神，严格执行预算、决算、收支等制度。财务上坚持收支两条线，所有收费标准都需上级领导审核同意，每一笔收支都及时开好发票票，及时入账，不存在私设有“小金库”的行为。积极开源节流，勤俭节约的方针，加强学校差旅费、购物、水电、专用经费等的管理，保证一切开支的合法合理合规使用。</w:t>
      </w:r>
    </w:p>
    <w:p w:rsidR="009A0AC3" w:rsidRDefault="004F2BBB">
      <w:pPr>
        <w:spacing w:line="560" w:lineRule="exact"/>
        <w:ind w:firstLineChars="200" w:firstLine="640"/>
        <w:rPr>
          <w:rFonts w:asciiTheme="minorEastAsia" w:hAnsiTheme="minorEastAsia" w:cs="Arial"/>
          <w:sz w:val="32"/>
          <w:szCs w:val="32"/>
        </w:rPr>
      </w:pPr>
      <w:r>
        <w:rPr>
          <w:rFonts w:asciiTheme="minorEastAsia" w:hAnsiTheme="minorEastAsia" w:hint="eastAsia"/>
          <w:sz w:val="32"/>
          <w:szCs w:val="32"/>
        </w:rPr>
        <w:t>后勤管理：</w:t>
      </w:r>
      <w:r>
        <w:rPr>
          <w:rFonts w:asciiTheme="minorEastAsia" w:hAnsiTheme="minorEastAsia" w:cs="Arial" w:hint="eastAsia"/>
          <w:sz w:val="32"/>
          <w:szCs w:val="32"/>
        </w:rPr>
        <w:t>学校后勤服务管理规范，目标责任明确，组织机构完善，规章制度健全，监督机制到位，严格执行。</w:t>
      </w:r>
    </w:p>
    <w:p w:rsidR="009A0AC3" w:rsidRDefault="004F2BBB">
      <w:pPr>
        <w:spacing w:line="560" w:lineRule="exact"/>
        <w:ind w:firstLineChars="200" w:firstLine="640"/>
        <w:rPr>
          <w:rFonts w:asciiTheme="minorEastAsia" w:hAnsiTheme="minorEastAsia"/>
          <w:b/>
          <w:sz w:val="32"/>
          <w:szCs w:val="32"/>
        </w:rPr>
      </w:pPr>
      <w:r>
        <w:rPr>
          <w:rFonts w:asciiTheme="minorEastAsia" w:hAnsiTheme="minorEastAsia" w:cs="Arial" w:hint="eastAsia"/>
          <w:sz w:val="32"/>
          <w:szCs w:val="32"/>
        </w:rPr>
        <w:t>学校相应建立了由学校领导任组长、总务科牵头具体实施的各项工作领导小组，明确工作职责。建立健全有关后勤管理相关预案规章制度，以此作为开展各项工作的抓手。后勤服务管理工作人员与学校签订目标管理责任状，职责明确，严格执行管理制度，做到有台账、有检查、有记录、有监督。绩效与工资挂钩，以此强化后勤员工的服务和安全意识，不断提高服</w:t>
      </w:r>
      <w:r>
        <w:rPr>
          <w:rFonts w:asciiTheme="minorEastAsia" w:hAnsiTheme="minorEastAsia" w:cs="Arial" w:hint="eastAsia"/>
          <w:sz w:val="32"/>
          <w:szCs w:val="32"/>
        </w:rPr>
        <w:lastRenderedPageBreak/>
        <w:t>务质量，认真贯彻执行上级指示及工作要求，做好学校后勤保障工作，很好地完成上级有关部门和学校布置的各项任务，努力营造良好的办学环境。</w:t>
      </w:r>
    </w:p>
    <w:p w:rsidR="009A0AC3" w:rsidRDefault="004F2BBB">
      <w:pPr>
        <w:spacing w:line="560" w:lineRule="exact"/>
        <w:ind w:firstLineChars="200" w:firstLine="640"/>
        <w:rPr>
          <w:rFonts w:asciiTheme="minorEastAsia" w:hAnsiTheme="minorEastAsia" w:cs="Times New Roman"/>
          <w:kern w:val="0"/>
          <w:sz w:val="32"/>
          <w:szCs w:val="32"/>
        </w:rPr>
      </w:pPr>
      <w:r>
        <w:rPr>
          <w:rFonts w:asciiTheme="minorEastAsia" w:hAnsiTheme="minorEastAsia" w:cs="Times New Roman" w:hint="eastAsia"/>
          <w:sz w:val="32"/>
          <w:szCs w:val="32"/>
        </w:rPr>
        <w:t>安全管理：学校成立了以邓礼校长为组长的安全工作领导小组，周庆志、许珍、崔文勇为副组长，各科室负责人、各班班主任、全体保卫人员为组员，实行校领导带班、中层干部、班主任值班制度和保卫人员24小时巡逻值班制度，实施网格化管理，层层落实和签订安全目标管理责任承诺书。学校定期排查安全隐患，建立健全安全保卫工作台帐，开展“每周一教育、每天一提醒”安全教育活动，把安全教育列入教学课程，法制副校长开办未成年人违法犯罪专题讲座，组织师生学习国家有关禁毒的法律法规，加强安全知识教育和自我防范教育，增强了广大师生的自我防范能力和自救能力。</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科研管理：学校成立会计教研室、计算机教研室、基础教研室、商务教研室，教研室下设专职教研室主任，负责教研室的管理和教研活动指导，形成教务科—教研室—专任教师三级管理体系。学校制定《教育教学管理》《教师管理》等制度，将常规教研活动作为教师考核重要内容，建立以各教研室全员参与的教师教学技能水平竞赛，激励教师开展以课堂为中心的教学研究，提高了教研室的团队竞争意识和整体教研水平。</w:t>
      </w:r>
    </w:p>
    <w:p w:rsidR="009A0AC3" w:rsidRDefault="004F2BBB">
      <w:pPr>
        <w:spacing w:line="560" w:lineRule="exact"/>
        <w:ind w:firstLineChars="200" w:firstLine="640"/>
        <w:rPr>
          <w:rFonts w:asciiTheme="minorEastAsia" w:hAnsiTheme="minorEastAsia"/>
          <w:b/>
          <w:sz w:val="32"/>
          <w:szCs w:val="32"/>
        </w:rPr>
      </w:pPr>
      <w:r>
        <w:rPr>
          <w:rFonts w:asciiTheme="minorEastAsia" w:hAnsiTheme="minorEastAsia" w:hint="eastAsia"/>
          <w:sz w:val="32"/>
          <w:szCs w:val="32"/>
        </w:rPr>
        <w:t>管理队伍建设：学校建立健全管理机制，对内设机构、教辅机构的干部选拔任用严格按照《党政领导干部选拔任用工作条例》及《事业单位领导人员管理暂行规定》、《广西钦州商贸学校正（副）科级干部选拔任用工作方案》，推行专业部管理，</w:t>
      </w:r>
      <w:r>
        <w:rPr>
          <w:rFonts w:asciiTheme="minorEastAsia" w:hAnsiTheme="minorEastAsia" w:hint="eastAsia"/>
          <w:sz w:val="32"/>
          <w:szCs w:val="32"/>
        </w:rPr>
        <w:lastRenderedPageBreak/>
        <w:t>推行岗位责任制，管理工作实行目标管理、量化考核，实施绩效工资制度，学校管理队伍的管理理念和服务水平有了较大提升。学校还开展岗前和岗位培训，定期选派管理人员外出参加各级各类培训，并定期对后勤工作进行校园满意度调查，提高学校管理质量和管理满意度。</w:t>
      </w:r>
    </w:p>
    <w:p w:rsidR="009A0AC3" w:rsidRDefault="004F2BBB">
      <w:pPr>
        <w:spacing w:line="560" w:lineRule="exact"/>
        <w:ind w:firstLineChars="200" w:firstLine="640"/>
        <w:rPr>
          <w:rFonts w:asciiTheme="minorEastAsia" w:hAnsiTheme="minorEastAsia" w:cs="宋体"/>
          <w:b/>
          <w:kern w:val="0"/>
          <w:sz w:val="32"/>
          <w:szCs w:val="32"/>
        </w:rPr>
      </w:pPr>
      <w:r>
        <w:rPr>
          <w:rFonts w:asciiTheme="minorEastAsia" w:hAnsiTheme="minorEastAsia" w:hint="eastAsia"/>
          <w:sz w:val="32"/>
          <w:szCs w:val="32"/>
        </w:rPr>
        <w:t>管理信息化水平：学校采用电信200M光纤专线接入互联网，建成主干1000M、覆盖全校、有线与部分教学楼无线相结合的校园网络；所有教室均配备有高性能电脑、投影仪、蓝牙音箱、蓝牙麦克风等多媒体教学设备进行教学；学校拥有终端420台，计算机1400多台；多媒体教室60个、电子阅览室1个；基本实现了数字化办公管理；积极推行网络化教学平台管理及建设，加强教师现代化技能水平提升，选派部分教师参加自治区级相关信息化水平技能培训和进行校本培训；运用校园网络管理系统，加强学生学籍和成绩管理，努力推进数字化校园建设。</w:t>
      </w:r>
    </w:p>
    <w:p w:rsidR="009A0AC3" w:rsidRDefault="004F2BBB">
      <w:pPr>
        <w:pStyle w:val="2"/>
        <w:spacing w:before="0" w:after="0" w:line="560" w:lineRule="exact"/>
        <w:ind w:firstLineChars="200" w:firstLine="640"/>
        <w:rPr>
          <w:rFonts w:asciiTheme="minorEastAsia" w:eastAsiaTheme="minorEastAsia" w:hAnsiTheme="minorEastAsia" w:cstheme="minorBidi"/>
          <w:b w:val="0"/>
          <w:kern w:val="44"/>
        </w:rPr>
      </w:pPr>
      <w:bookmarkStart w:id="33" w:name="_Toc504330237"/>
      <w:bookmarkStart w:id="34" w:name="_Toc504331437"/>
      <w:r>
        <w:rPr>
          <w:rFonts w:asciiTheme="minorEastAsia" w:eastAsiaTheme="minorEastAsia" w:hAnsiTheme="minorEastAsia" w:cstheme="minorBidi" w:hint="eastAsia"/>
          <w:b w:val="0"/>
          <w:kern w:val="44"/>
        </w:rPr>
        <w:t>3.5德育工作情况</w:t>
      </w:r>
      <w:bookmarkEnd w:id="33"/>
      <w:bookmarkEnd w:id="34"/>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color w:val="000000"/>
          <w:sz w:val="32"/>
          <w:szCs w:val="32"/>
        </w:rPr>
        <w:t>德育课实施情况：</w:t>
      </w:r>
      <w:r>
        <w:rPr>
          <w:rFonts w:asciiTheme="minorEastAsia" w:hAnsiTheme="minorEastAsia" w:hint="eastAsia"/>
          <w:sz w:val="32"/>
          <w:szCs w:val="32"/>
        </w:rPr>
        <w:t>开齐开足德育课，坚持每周一节班会课。进一步积淀校园文化。学校通过各种途径，加强“三风”建设，逐步形成了良好的校风、教风、学风；引入企业文化，使企业文化融入校园文化；扎实开展“抓小事工程”，推进“细节文化”建设，使全校师生在追求精致的基础上不断超越自我。</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cs="Times New Roman" w:hint="eastAsia"/>
          <w:sz w:val="32"/>
          <w:szCs w:val="32"/>
        </w:rPr>
        <w:t>校园文化建设：</w:t>
      </w:r>
      <w:r>
        <w:rPr>
          <w:rFonts w:asciiTheme="minorEastAsia" w:hAnsiTheme="minorEastAsia" w:hint="eastAsia"/>
          <w:sz w:val="32"/>
          <w:szCs w:val="32"/>
        </w:rPr>
        <w:t>一是走廊、楼梯文化，在办公楼、教学楼等的走廊、楼梯，悬挂学生自己创作的书画作品，在学生宿舍楼梯，张贴各种励志壁挂，把传统的宿舍床位表设计为温馨、励志、美观的宿舍牌。二是墙体文化，把西边围墙、11号楼的</w:t>
      </w:r>
      <w:r>
        <w:rPr>
          <w:rFonts w:asciiTheme="minorEastAsia" w:hAnsiTheme="minorEastAsia" w:hint="eastAsia"/>
          <w:sz w:val="32"/>
          <w:szCs w:val="32"/>
        </w:rPr>
        <w:lastRenderedPageBreak/>
        <w:t>墙体也设计为文化墙，用以彰显学校的校训等核心文化。三是校道文化，在校道边、球场四周，把能利用的都利用，通过板报、路灯等载体，用以弘扬优秀的企业文化、传统文化。四是教室文化，通过举办最美班级创意照大赛、温馨教室比赛等活动，使每个班的教室布置更贴近专业、更具人文化、个性化，增强了班级凝聚力和集体荣誉感。通过这一系列的打造，使得整个校园的校容校貌都有了一定的改观。</w:t>
      </w:r>
    </w:p>
    <w:p w:rsidR="009A0AC3" w:rsidRDefault="004F2BBB">
      <w:pPr>
        <w:spacing w:line="560" w:lineRule="exact"/>
        <w:ind w:firstLineChars="200" w:firstLine="640"/>
        <w:rPr>
          <w:rFonts w:asciiTheme="minorEastAsia" w:hAnsiTheme="minorEastAsia" w:cs="Times New Roman"/>
          <w:sz w:val="32"/>
          <w:szCs w:val="32"/>
        </w:rPr>
      </w:pPr>
      <w:r>
        <w:rPr>
          <w:rFonts w:asciiTheme="minorEastAsia" w:hAnsiTheme="minorEastAsia" w:hint="eastAsia"/>
          <w:sz w:val="32"/>
          <w:szCs w:val="32"/>
        </w:rPr>
        <w:t>文明风采活动开展情况</w:t>
      </w:r>
      <w:r>
        <w:rPr>
          <w:rFonts w:asciiTheme="minorEastAsia" w:hAnsiTheme="minorEastAsia" w:cs="Times New Roman" w:hint="eastAsia"/>
          <w:sz w:val="32"/>
          <w:szCs w:val="32"/>
        </w:rPr>
        <w:t>：</w:t>
      </w:r>
      <w:r>
        <w:rPr>
          <w:rFonts w:asciiTheme="minorEastAsia" w:hAnsiTheme="minorEastAsia" w:hint="eastAsia"/>
          <w:sz w:val="32"/>
          <w:szCs w:val="32"/>
        </w:rPr>
        <w:t>学校认真落实关于《第十三届全区中等职业学校“文明风采”竞赛活动通知》及方案等文件精神，积极组织学生参赛并报送作品83个，其中征文类作品21篇，职业生涯规划3篇，摄影作品56篇，征文演讲类1篇，才艺展示舞台类作品2篇；在第十三届全区中等职业学校“文明风采”竞赛中，取得良好的成绩，其中一等奖4个，二等奖20个，三等奖38个；且才艺展示舞台类的《缅桂花开朵朵香》及职业规划类的《创业计划书》荣获一等奖，并被选送代表广西参加全国文明风采竞赛均荣获优秀奖。</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社团活动：学校制定《广西钦州商贸学校学生社团管理制度》,建有学生会、乐音吉他社、广播站、艺术团、通讯社、英语俱乐部、摄影组、书画协会、弦音文学社、竞智棋社、篮球社、电脑协会、会计学会、营销协会、爱心社、钢琴协会、梦寐话剧社、蓝天曳步舞社、FLIP滑板社共19个学生社团。每月进行2-3次社团训练或组织社团活动，本年度进行社团联合成果展示2次，爱心社本年度福利院慰问孤寡老人3次，每周组织各班进学校周围社区进行卫生清洁，竞智棋社参加钦州市棋</w:t>
      </w:r>
      <w:r>
        <w:rPr>
          <w:rFonts w:asciiTheme="minorEastAsia" w:hAnsiTheme="minorEastAsia" w:hint="eastAsia"/>
          <w:sz w:val="32"/>
          <w:szCs w:val="32"/>
        </w:rPr>
        <w:lastRenderedPageBreak/>
        <w:t>牌协会举办的“棋王争霸赛”活动获优秀奖，艺术团节目“花木兰”在钦州市直机关党组织庆祝中国共产党成立96周年文艺晚会中获“优秀节目”称号。</w:t>
      </w:r>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团组织学生会建设：学校定期举办团课，先后举行“入团第一课”、“团章知识系列课程”、团员入团仪式等系列团活动，加强对入团积极分子的思想政治教育，引领学生践行社会主义核心价值观，增强了团员的团员意识和荣誉感，团组织的战斗力、凝聚力得到加强。</w:t>
      </w:r>
    </w:p>
    <w:p w:rsidR="009A0AC3" w:rsidRDefault="004F2BBB">
      <w:pPr>
        <w:spacing w:line="560" w:lineRule="exact"/>
        <w:ind w:firstLineChars="200" w:firstLine="640"/>
        <w:rPr>
          <w:rFonts w:asciiTheme="minorEastAsia" w:hAnsiTheme="minorEastAsia"/>
          <w:color w:val="000000" w:themeColor="text1"/>
          <w:sz w:val="32"/>
          <w:szCs w:val="32"/>
        </w:rPr>
      </w:pPr>
      <w:r>
        <w:rPr>
          <w:rFonts w:asciiTheme="minorEastAsia" w:hAnsiTheme="minorEastAsia" w:hint="eastAsia"/>
          <w:sz w:val="32"/>
          <w:szCs w:val="32"/>
        </w:rPr>
        <w:t>学校团委注重对学生会的指导,建立《广西钦州商贸学校学生会管理制度》，形成学生会良好管理机制。修订《学生会检查标准》规定，明确工作职责，落实规范管理。积极创建学习型学生会，定期举行总结大会，提高了学生自我管理、自我约束、自我提高的能力。学生会在学校管理方面发挥积极重要作用。</w:t>
      </w:r>
    </w:p>
    <w:p w:rsidR="009A0AC3" w:rsidRDefault="004F2BBB">
      <w:pPr>
        <w:spacing w:line="560" w:lineRule="exact"/>
        <w:ind w:firstLineChars="200" w:firstLine="640"/>
        <w:outlineLvl w:val="1"/>
        <w:rPr>
          <w:rFonts w:asciiTheme="minorEastAsia" w:hAnsiTheme="minorEastAsia"/>
          <w:kern w:val="44"/>
          <w:sz w:val="32"/>
          <w:szCs w:val="32"/>
        </w:rPr>
      </w:pPr>
      <w:bookmarkStart w:id="35" w:name="_Toc504331438"/>
      <w:bookmarkStart w:id="36" w:name="_Toc504330238"/>
      <w:r>
        <w:rPr>
          <w:rFonts w:asciiTheme="minorEastAsia" w:hAnsiTheme="minorEastAsia" w:hint="eastAsia"/>
          <w:kern w:val="44"/>
          <w:sz w:val="32"/>
          <w:szCs w:val="32"/>
        </w:rPr>
        <w:t>3.6党建情况</w:t>
      </w:r>
      <w:bookmarkEnd w:id="35"/>
      <w:bookmarkEnd w:id="36"/>
    </w:p>
    <w:p w:rsidR="009A0AC3" w:rsidRDefault="004F2BBB">
      <w:pPr>
        <w:spacing w:line="560" w:lineRule="exact"/>
        <w:ind w:firstLineChars="200" w:firstLine="640"/>
        <w:rPr>
          <w:rFonts w:asciiTheme="minorEastAsia" w:hAnsiTheme="minorEastAsia"/>
          <w:kern w:val="44"/>
          <w:sz w:val="32"/>
          <w:szCs w:val="32"/>
        </w:rPr>
      </w:pPr>
      <w:r>
        <w:rPr>
          <w:rFonts w:asciiTheme="minorEastAsia" w:hAnsiTheme="minorEastAsia" w:hint="eastAsia"/>
          <w:kern w:val="44"/>
          <w:sz w:val="32"/>
          <w:szCs w:val="32"/>
        </w:rPr>
        <w:t>根据《中共中央办公厅关于印发〈党委（党组）意识形态工作责任制实施办法〉的通知》、《自治区党委办公厅关于印发〈党委（党组）意识形态工作责任制实施细则〉的通知》和《钦州市委办公室印发〈关于加强党委（党组）意识形态工作责任制考核意见〉的通知》（钦办发〔2016〕27号）文件的精神，学校党委认真制定了意识形态工作的实施方案，根据实施方案扎实开展工作，加强和改进学校党委意识形态各项工作，并与钦州市直属机关工委签订了2017年度意识形态工作责任书,严格落实责任书的各项要求。</w:t>
      </w:r>
    </w:p>
    <w:p w:rsidR="009A0AC3" w:rsidRDefault="004F2BBB">
      <w:pPr>
        <w:spacing w:line="560" w:lineRule="exact"/>
        <w:ind w:firstLineChars="200" w:firstLine="640"/>
        <w:rPr>
          <w:rFonts w:asciiTheme="minorEastAsia" w:hAnsiTheme="minorEastAsia"/>
          <w:kern w:val="44"/>
          <w:sz w:val="32"/>
          <w:szCs w:val="32"/>
        </w:rPr>
      </w:pPr>
      <w:r>
        <w:rPr>
          <w:rFonts w:asciiTheme="minorEastAsia" w:hAnsiTheme="minorEastAsia" w:hint="eastAsia"/>
          <w:kern w:val="44"/>
          <w:sz w:val="32"/>
          <w:szCs w:val="32"/>
        </w:rPr>
        <w:t>在学校党委的领导下，各项活动以党支部为基本单位，充</w:t>
      </w:r>
      <w:r>
        <w:rPr>
          <w:rFonts w:asciiTheme="minorEastAsia" w:hAnsiTheme="minorEastAsia" w:hint="eastAsia"/>
          <w:kern w:val="44"/>
          <w:sz w:val="32"/>
          <w:szCs w:val="32"/>
        </w:rPr>
        <w:lastRenderedPageBreak/>
        <w:t>分发挥党支部在“两学一做”学习教育常态化制度化中的主体作用，严格落实“三会一课”基本制度，将“两学一做”内容作为党员教育基本内容，确保“两学一做”学在基层、做在基层、严在基层、实在基层，真正使学校基层党组织成为教育党员的学校、团结群众的核心、攻坚克难的堡垒，提升教育教学质量，努力办好人民满意的教育。</w:t>
      </w:r>
    </w:p>
    <w:p w:rsidR="009A0AC3" w:rsidRDefault="004F2BBB">
      <w:pPr>
        <w:spacing w:line="560" w:lineRule="exact"/>
        <w:ind w:firstLineChars="200" w:firstLine="640"/>
        <w:rPr>
          <w:rFonts w:asciiTheme="minorEastAsia" w:hAnsiTheme="minorEastAsia" w:cs="宋体"/>
          <w:color w:val="000000" w:themeColor="text1"/>
          <w:kern w:val="0"/>
          <w:sz w:val="32"/>
          <w:szCs w:val="32"/>
        </w:rPr>
      </w:pPr>
      <w:r>
        <w:rPr>
          <w:rFonts w:asciiTheme="minorEastAsia" w:hAnsiTheme="minorEastAsia" w:cs="宋体" w:hint="eastAsia"/>
          <w:color w:val="000000" w:themeColor="text1"/>
          <w:kern w:val="0"/>
          <w:sz w:val="32"/>
          <w:szCs w:val="32"/>
        </w:rPr>
        <w:t>2017年学校各支部开展的主题党日活动中，其中组织党员集中学习21次，重温入党誓词12次，开展惠民金额1500元的脱贫攻坚活动1次，开展廉政教育6次，开张红色教育活动2次，开展文体活动1次，并在“钦州智慧党建APP平台”进行宣传报道主题党日活动1次。</w:t>
      </w:r>
    </w:p>
    <w:p w:rsidR="009A0AC3" w:rsidRDefault="004F2BBB">
      <w:pPr>
        <w:spacing w:line="560" w:lineRule="exact"/>
        <w:ind w:firstLineChars="200" w:firstLine="640"/>
        <w:rPr>
          <w:rFonts w:asciiTheme="minorEastAsia" w:hAnsiTheme="minorEastAsia" w:cs="宋体"/>
          <w:color w:val="000000" w:themeColor="text1"/>
          <w:kern w:val="0"/>
          <w:sz w:val="32"/>
          <w:szCs w:val="32"/>
        </w:rPr>
      </w:pPr>
      <w:r>
        <w:rPr>
          <w:rFonts w:asciiTheme="minorEastAsia" w:hAnsiTheme="minorEastAsia" w:cs="宋体" w:hint="eastAsia"/>
          <w:color w:val="000000" w:themeColor="text1"/>
          <w:kern w:val="0"/>
          <w:sz w:val="32"/>
          <w:szCs w:val="32"/>
        </w:rPr>
        <w:t>为了强化党风廉政建设责任担当意识，校长与分管副校长（含工会主席）分别签订党风廉政建设责任书；分管副校长（含工会主席）与科室负责人分别签订廉政建设责任书，严格从严治党管党，做到警钟长鸣。2017年学校没有出现发生在群众身边的“四风”问题或其它违规、违纪问题。</w:t>
      </w:r>
    </w:p>
    <w:p w:rsidR="009A0AC3" w:rsidRDefault="004F2BBB">
      <w:pPr>
        <w:spacing w:line="560" w:lineRule="exact"/>
        <w:ind w:firstLineChars="200" w:firstLine="640"/>
        <w:rPr>
          <w:rFonts w:asciiTheme="minorEastAsia" w:hAnsiTheme="minorEastAsia" w:cs="宋体"/>
          <w:color w:val="000000" w:themeColor="text1"/>
          <w:kern w:val="0"/>
          <w:sz w:val="32"/>
          <w:szCs w:val="32"/>
        </w:rPr>
      </w:pPr>
      <w:r>
        <w:rPr>
          <w:rFonts w:asciiTheme="minorEastAsia" w:hAnsiTheme="minorEastAsia" w:cs="宋体" w:hint="eastAsia"/>
          <w:color w:val="000000" w:themeColor="text1"/>
          <w:kern w:val="0"/>
          <w:sz w:val="32"/>
          <w:szCs w:val="32"/>
        </w:rPr>
        <w:t>学校党委以《关于中国共产党党费收缴、使用和管理的规定》和《关于印发&lt;钦州市党费收缴、使用和管理工作实施办法&gt;》为依据，以党支部为单位，学校在职的54名党员都能主动、按月、足额缴纳党费，党费收缴率为100%，并且学校党委于2017年6月23日，2017年12月12日，分别按时足额向市直工委组织部上缴党费11996.4元、5297.22元，党费的收缴、使用和管理符合规定。</w:t>
      </w:r>
    </w:p>
    <w:p w:rsidR="009A0AC3" w:rsidRDefault="004F2BBB">
      <w:pPr>
        <w:spacing w:line="560" w:lineRule="exact"/>
        <w:ind w:firstLineChars="200" w:firstLine="643"/>
        <w:outlineLvl w:val="0"/>
        <w:rPr>
          <w:rFonts w:asciiTheme="minorEastAsia" w:hAnsiTheme="minorEastAsia"/>
          <w:b/>
          <w:sz w:val="32"/>
          <w:szCs w:val="32"/>
        </w:rPr>
      </w:pPr>
      <w:bookmarkStart w:id="37" w:name="_Toc504330239"/>
      <w:bookmarkStart w:id="38" w:name="_Toc504331439"/>
      <w:r>
        <w:rPr>
          <w:rFonts w:asciiTheme="minorEastAsia" w:hAnsiTheme="minorEastAsia" w:hint="eastAsia"/>
          <w:b/>
          <w:sz w:val="32"/>
          <w:szCs w:val="32"/>
        </w:rPr>
        <w:t>4.校企合作</w:t>
      </w:r>
      <w:bookmarkEnd w:id="37"/>
      <w:bookmarkEnd w:id="38"/>
    </w:p>
    <w:p w:rsidR="009A0AC3" w:rsidRDefault="004F2BBB">
      <w:pPr>
        <w:spacing w:line="560" w:lineRule="exact"/>
        <w:ind w:firstLineChars="200" w:firstLine="640"/>
        <w:outlineLvl w:val="1"/>
        <w:rPr>
          <w:rFonts w:asciiTheme="minorEastAsia" w:hAnsiTheme="minorEastAsia"/>
          <w:sz w:val="32"/>
          <w:szCs w:val="32"/>
        </w:rPr>
      </w:pPr>
      <w:bookmarkStart w:id="39" w:name="_Toc504331440"/>
      <w:bookmarkStart w:id="40" w:name="_Toc504330240"/>
      <w:r>
        <w:rPr>
          <w:rFonts w:asciiTheme="minorEastAsia" w:hAnsiTheme="minorEastAsia" w:hint="eastAsia"/>
          <w:sz w:val="32"/>
          <w:szCs w:val="32"/>
        </w:rPr>
        <w:lastRenderedPageBreak/>
        <w:t>4.1校企合作开展情况和效果</w:t>
      </w:r>
      <w:bookmarkStart w:id="41" w:name="_Toc504330241"/>
      <w:bookmarkEnd w:id="39"/>
      <w:bookmarkEnd w:id="40"/>
    </w:p>
    <w:p w:rsidR="009A0AC3" w:rsidRDefault="004F2BBB">
      <w:pPr>
        <w:spacing w:line="560" w:lineRule="exact"/>
        <w:ind w:firstLineChars="200" w:firstLine="640"/>
        <w:rPr>
          <w:rFonts w:asciiTheme="minorEastAsia" w:hAnsiTheme="minorEastAsia" w:cs="Times New Roman"/>
          <w:sz w:val="32"/>
          <w:szCs w:val="32"/>
        </w:rPr>
      </w:pPr>
      <w:r>
        <w:rPr>
          <w:rFonts w:asciiTheme="minorEastAsia" w:hAnsiTheme="minorEastAsia" w:cs="Times New Roman" w:hint="eastAsia"/>
          <w:sz w:val="32"/>
          <w:szCs w:val="32"/>
        </w:rPr>
        <w:t>学校立足本地，主动为地方社会经济发展服务，逐步完善“依托行业、校企合作、工学结合、优势互补、资源共享、互动共赢”的校企合作机制，与广西交投集团、北投集团、中国石油、钦州市第一幼儿园等11所幼儿园、广西众加赢电子商务有限公司、梦之岛、广西卓能新能源科技有限公司、广西农易购电子商务有限公司、灵山县供销社、中国大地财产保险股份公司等40多家企事业单位建立了校企合作关系。其中广西交通投资集团与学校的校企合作是钦州市职业教育的一个成功典范，广西交通投资集团与学校签订校企合作协议，实行订单式培养，委托学校每届培养100名高速公路收费员，指定在会计专业中的两个班作为“高速公路管理冠名班”，学生在校学习两年，第三年到广西交通投资集团旗下的高速公路收费站进行顶岗实习，实习期过后办理转正手续。合作至今，硕果累累，享誉钦州，已成为“学生向往，家长放心，社会满意”的合作典范，每年超过120名学生慕名来报读我校高管班。</w:t>
      </w:r>
      <w:bookmarkStart w:id="42" w:name="_Toc504330242"/>
      <w:bookmarkEnd w:id="41"/>
    </w:p>
    <w:p w:rsidR="009A0AC3" w:rsidRDefault="004F2BBB">
      <w:pPr>
        <w:spacing w:line="560" w:lineRule="exact"/>
        <w:ind w:firstLineChars="200" w:firstLine="640"/>
        <w:outlineLvl w:val="1"/>
        <w:rPr>
          <w:rFonts w:ascii="宋体" w:eastAsia="宋体" w:hAnsi="宋体"/>
          <w:b/>
          <w:sz w:val="32"/>
          <w:szCs w:val="32"/>
        </w:rPr>
      </w:pPr>
      <w:bookmarkStart w:id="43" w:name="_Toc504331441"/>
      <w:r>
        <w:rPr>
          <w:rFonts w:hint="eastAsia"/>
          <w:sz w:val="32"/>
          <w:szCs w:val="32"/>
        </w:rPr>
        <w:t>4.</w:t>
      </w:r>
      <w:r>
        <w:rPr>
          <w:rFonts w:ascii="宋体" w:eastAsia="宋体" w:hAnsi="宋体" w:hint="eastAsia"/>
          <w:sz w:val="32"/>
          <w:szCs w:val="32"/>
        </w:rPr>
        <w:t>2学生实习情况</w:t>
      </w:r>
      <w:bookmarkEnd w:id="42"/>
      <w:bookmarkEnd w:id="43"/>
    </w:p>
    <w:p w:rsidR="009A0AC3" w:rsidRDefault="004F2BBB">
      <w:pPr>
        <w:spacing w:line="560" w:lineRule="exact"/>
        <w:ind w:firstLineChars="200" w:firstLine="640"/>
        <w:rPr>
          <w:rFonts w:asciiTheme="minorEastAsia" w:hAnsiTheme="minorEastAsia"/>
          <w:sz w:val="32"/>
          <w:szCs w:val="32"/>
        </w:rPr>
      </w:pPr>
      <w:r>
        <w:rPr>
          <w:rFonts w:asciiTheme="minorEastAsia" w:hAnsiTheme="minorEastAsia" w:hint="eastAsia"/>
          <w:sz w:val="32"/>
          <w:szCs w:val="32"/>
        </w:rPr>
        <w:t>根据《中等职业学校学生实习管理办法》文件精神，结合学校实际，制定了8个学生顶岗实习管理制度，严格规范了学生顶岗实习管理工作，凡参加顶岗实习的学生都要签署《顶岗实习三方协议书》、《顶岗实习申请书》、《顶岗实习承诺书》，学校还免费为每位顶岗实习的学生购买了顶岗实习强制险，保障了学生实习安全稳定。学生到企业后，在学校与企业共同培训指导下，能尽快进入角色，适应企业岗位要求。学生在岗位上，</w:t>
      </w:r>
      <w:r>
        <w:rPr>
          <w:rFonts w:asciiTheme="minorEastAsia" w:hAnsiTheme="minorEastAsia" w:hint="eastAsia"/>
          <w:sz w:val="32"/>
          <w:szCs w:val="32"/>
        </w:rPr>
        <w:lastRenderedPageBreak/>
        <w:t>吃苦耐劳、团结协作精神得到加强，动手操作能力和专业技能得到提高。学生遵守企业相关规定，虚心向企业师傅学习，职业精神、职业能力得到企业认可，部分学生在企业中已成长为技术骨干和岗位能手。</w:t>
      </w:r>
      <w:bookmarkStart w:id="44" w:name="_Toc504330243"/>
    </w:p>
    <w:p w:rsidR="009A0AC3" w:rsidRDefault="004F2BBB">
      <w:pPr>
        <w:spacing w:line="560" w:lineRule="exact"/>
        <w:ind w:firstLineChars="200" w:firstLine="640"/>
        <w:outlineLvl w:val="1"/>
        <w:rPr>
          <w:rFonts w:asciiTheme="minorEastAsia" w:hAnsiTheme="minorEastAsia"/>
          <w:b/>
          <w:sz w:val="32"/>
          <w:szCs w:val="32"/>
        </w:rPr>
      </w:pPr>
      <w:bookmarkStart w:id="45" w:name="_Toc504331442"/>
      <w:r>
        <w:rPr>
          <w:rFonts w:asciiTheme="minorEastAsia" w:hAnsiTheme="minorEastAsia" w:hint="eastAsia"/>
          <w:sz w:val="32"/>
          <w:szCs w:val="32"/>
        </w:rPr>
        <w:t>4.3集团化办学情况</w:t>
      </w:r>
      <w:bookmarkEnd w:id="44"/>
      <w:bookmarkEnd w:id="45"/>
    </w:p>
    <w:p w:rsidR="009A0AC3" w:rsidRDefault="004F2BBB">
      <w:pPr>
        <w:spacing w:line="500" w:lineRule="exact"/>
        <w:ind w:firstLineChars="200" w:firstLine="640"/>
        <w:rPr>
          <w:rFonts w:ascii="宋体" w:eastAsia="宋体" w:hAnsi="宋体"/>
          <w:sz w:val="32"/>
          <w:szCs w:val="32"/>
        </w:rPr>
      </w:pPr>
      <w:r>
        <w:rPr>
          <w:rFonts w:ascii="宋体" w:eastAsia="宋体" w:hAnsi="宋体" w:hint="eastAsia"/>
          <w:sz w:val="32"/>
          <w:szCs w:val="32"/>
        </w:rPr>
        <w:t>2014年3月27日，学校参与成立广西现代商贸职业教育集团，参与制定广西现代商贸职业教育集团工作计划，定期举办各种教科研活动、学术交流活动，与集团企业合作进行各类社会培训，并根据教学计划到集团其他单位实习基地参加实训，提高学生动手操作能力。集团通过近几年的发展，逐步形成了广西现代商贸服务职业教育的生源链、产业链、师资链、信息链、就业链、成果转化链和继续教育链，不断提高商贸服务业职业教育质量，为区域经济发展培养更多高素质商务人才。</w:t>
      </w:r>
    </w:p>
    <w:p w:rsidR="009A0AC3" w:rsidRDefault="004F2BBB">
      <w:pPr>
        <w:spacing w:line="500" w:lineRule="exact"/>
        <w:ind w:firstLineChars="200" w:firstLine="643"/>
        <w:outlineLvl w:val="0"/>
        <w:rPr>
          <w:rFonts w:asciiTheme="minorEastAsia" w:hAnsiTheme="minorEastAsia"/>
          <w:b/>
          <w:sz w:val="32"/>
          <w:szCs w:val="32"/>
        </w:rPr>
      </w:pPr>
      <w:bookmarkStart w:id="46" w:name="_Toc504331443"/>
      <w:bookmarkStart w:id="47" w:name="_Toc504330244"/>
      <w:r>
        <w:rPr>
          <w:rFonts w:asciiTheme="minorEastAsia" w:hAnsiTheme="minorEastAsia" w:hint="eastAsia"/>
          <w:b/>
          <w:sz w:val="32"/>
          <w:szCs w:val="32"/>
        </w:rPr>
        <w:t>5.社会贡献</w:t>
      </w:r>
      <w:bookmarkEnd w:id="46"/>
      <w:bookmarkEnd w:id="47"/>
    </w:p>
    <w:p w:rsidR="009A0AC3" w:rsidRDefault="004F2BBB">
      <w:pPr>
        <w:spacing w:line="500" w:lineRule="exact"/>
        <w:ind w:firstLineChars="200" w:firstLine="640"/>
        <w:outlineLvl w:val="1"/>
        <w:rPr>
          <w:rFonts w:asciiTheme="minorEastAsia" w:hAnsiTheme="minorEastAsia"/>
          <w:sz w:val="32"/>
          <w:szCs w:val="32"/>
        </w:rPr>
      </w:pPr>
      <w:bookmarkStart w:id="48" w:name="_Toc504331444"/>
      <w:bookmarkStart w:id="49" w:name="_Toc504330245"/>
      <w:r>
        <w:rPr>
          <w:rFonts w:asciiTheme="minorEastAsia" w:hAnsiTheme="minorEastAsia" w:hint="eastAsia"/>
          <w:sz w:val="32"/>
          <w:szCs w:val="32"/>
        </w:rPr>
        <w:t>5.1技术技能人才培养</w:t>
      </w:r>
      <w:bookmarkEnd w:id="48"/>
      <w:bookmarkEnd w:id="49"/>
    </w:p>
    <w:p w:rsidR="009A0AC3" w:rsidRDefault="004F2BBB">
      <w:pPr>
        <w:spacing w:line="500" w:lineRule="exact"/>
        <w:ind w:firstLineChars="200" w:firstLine="640"/>
        <w:rPr>
          <w:rFonts w:asciiTheme="minorEastAsia" w:hAnsiTheme="minorEastAsia"/>
          <w:sz w:val="32"/>
          <w:szCs w:val="32"/>
        </w:rPr>
      </w:pPr>
      <w:r>
        <w:rPr>
          <w:rFonts w:asciiTheme="minorEastAsia" w:hAnsiTheme="minorEastAsia" w:hint="eastAsia"/>
          <w:sz w:val="32"/>
          <w:szCs w:val="32"/>
        </w:rPr>
        <w:t>学校组织制定并实施满足企业需求的实施性教学计划，每学期严格组织学习质量评价，加强技能教学，组织学生考取相应的职业资格证书，合格率达81%，技术水平能够满足企业技术岗位用工需求。学校选拔技能水平高的学生参加各级职业院校技能大赛，取得了国赛三等奖1个；区赛一等奖1个、二等奖11个、三等奖4个；市赛一等奖10个，二等奖16个，三等奖21个，优秀奖9个的优异成绩。</w:t>
      </w:r>
      <w:bookmarkStart w:id="50" w:name="_Toc504330246"/>
    </w:p>
    <w:p w:rsidR="009A0AC3" w:rsidRDefault="004F2BBB">
      <w:pPr>
        <w:spacing w:line="500" w:lineRule="exact"/>
        <w:ind w:firstLineChars="200" w:firstLine="640"/>
        <w:outlineLvl w:val="1"/>
        <w:rPr>
          <w:rFonts w:asciiTheme="minorEastAsia" w:hAnsiTheme="minorEastAsia"/>
          <w:b/>
          <w:sz w:val="32"/>
          <w:szCs w:val="32"/>
        </w:rPr>
      </w:pPr>
      <w:bookmarkStart w:id="51" w:name="_Toc504331445"/>
      <w:r>
        <w:rPr>
          <w:rFonts w:asciiTheme="minorEastAsia" w:hAnsiTheme="minorEastAsia" w:hint="eastAsia"/>
          <w:color w:val="000000"/>
          <w:sz w:val="32"/>
          <w:szCs w:val="32"/>
        </w:rPr>
        <w:t>5.2社会服务</w:t>
      </w:r>
      <w:bookmarkEnd w:id="50"/>
      <w:bookmarkEnd w:id="51"/>
    </w:p>
    <w:p w:rsidR="009A0AC3" w:rsidRDefault="004F2BBB">
      <w:pPr>
        <w:spacing w:line="560" w:lineRule="exact"/>
        <w:ind w:firstLineChars="200" w:firstLine="640"/>
        <w:rPr>
          <w:rFonts w:asciiTheme="minorEastAsia" w:hAnsiTheme="minorEastAsia" w:cs="宋体"/>
          <w:bCs/>
          <w:kern w:val="0"/>
          <w:sz w:val="32"/>
          <w:szCs w:val="32"/>
        </w:rPr>
      </w:pPr>
      <w:r>
        <w:rPr>
          <w:rFonts w:asciiTheme="minorEastAsia" w:hAnsiTheme="minorEastAsia" w:cs="宋体" w:hint="eastAsia"/>
          <w:bCs/>
          <w:kern w:val="0"/>
          <w:sz w:val="32"/>
          <w:szCs w:val="32"/>
        </w:rPr>
        <w:t>培训服务：2017年度，学校面向社会、农村等开展知识技能培训1120人次，为北部湾经济建设培养高素质的实用人才。目前学校成人学历教育在校生规模达2696余人，主要开设有会</w:t>
      </w:r>
      <w:r>
        <w:rPr>
          <w:rFonts w:asciiTheme="minorEastAsia" w:hAnsiTheme="minorEastAsia" w:cs="宋体" w:hint="eastAsia"/>
          <w:bCs/>
          <w:kern w:val="0"/>
          <w:sz w:val="32"/>
          <w:szCs w:val="32"/>
        </w:rPr>
        <w:lastRenderedPageBreak/>
        <w:t>计、电子商务、计算机应用技术，物流管理等专业，为北部湾经济建设培养了大批的专业人才。学校对外提供保育员、电子商务师、ATA等工种的短期培训，区域经济发展做出了重要贡献。</w:t>
      </w:r>
    </w:p>
    <w:p w:rsidR="009A0AC3" w:rsidRDefault="004F2BBB">
      <w:pPr>
        <w:spacing w:line="560" w:lineRule="exact"/>
        <w:ind w:firstLineChars="200" w:firstLine="640"/>
        <w:rPr>
          <w:rFonts w:asciiTheme="minorEastAsia" w:hAnsiTheme="minorEastAsia" w:cs="宋体"/>
          <w:bCs/>
          <w:kern w:val="0"/>
          <w:sz w:val="32"/>
          <w:szCs w:val="32"/>
        </w:rPr>
      </w:pPr>
      <w:r>
        <w:rPr>
          <w:rFonts w:asciiTheme="minorEastAsia" w:hAnsiTheme="minorEastAsia" w:cs="宋体" w:hint="eastAsia"/>
          <w:bCs/>
          <w:kern w:val="0"/>
          <w:sz w:val="32"/>
          <w:szCs w:val="32"/>
        </w:rPr>
        <w:t>技术服务：学校团委持续开展进社区、进敬老院等活动，学校服务社区12次，为社区居民和单位员工提供电脑维修、维护和培训服务，受到社会赞誉。</w:t>
      </w:r>
    </w:p>
    <w:p w:rsidR="009A0AC3" w:rsidRDefault="004F2BBB">
      <w:pPr>
        <w:spacing w:line="560" w:lineRule="exact"/>
        <w:ind w:firstLineChars="200" w:firstLine="640"/>
        <w:rPr>
          <w:rFonts w:asciiTheme="minorEastAsia" w:hAnsiTheme="minorEastAsia" w:cs="宋体"/>
          <w:bCs/>
          <w:kern w:val="0"/>
          <w:sz w:val="32"/>
          <w:szCs w:val="32"/>
        </w:rPr>
      </w:pPr>
      <w:r>
        <w:rPr>
          <w:rFonts w:asciiTheme="minorEastAsia" w:hAnsiTheme="minorEastAsia" w:cs="宋体" w:hint="eastAsia"/>
          <w:bCs/>
          <w:kern w:val="0"/>
          <w:sz w:val="32"/>
          <w:szCs w:val="32"/>
        </w:rPr>
        <w:t>文化传承：各班级利用早读课认真朗读《经典晨读》，让学生在诵读过程中潜移默化地接受优秀传统文化教育，为他们一生的发展奠定良好的基础。2017年成功举办了我校第一届文化艺术周系列活动；举办了“首届中华诗文经典诵读”比赛；定期组织开展相关的主题活动，积极推广普通话，传播中国传统文化，弘扬中国精神，培养了学生的人文素养。</w:t>
      </w:r>
    </w:p>
    <w:p w:rsidR="009A0AC3" w:rsidRDefault="004F2BBB">
      <w:pPr>
        <w:spacing w:line="560" w:lineRule="exact"/>
        <w:ind w:firstLineChars="200" w:firstLine="640"/>
        <w:outlineLvl w:val="1"/>
        <w:rPr>
          <w:rFonts w:asciiTheme="minorEastAsia" w:hAnsiTheme="minorEastAsia"/>
          <w:sz w:val="32"/>
          <w:szCs w:val="32"/>
        </w:rPr>
      </w:pPr>
      <w:bookmarkStart w:id="52" w:name="_Toc504330247"/>
      <w:bookmarkStart w:id="53" w:name="_Toc504331446"/>
      <w:r>
        <w:rPr>
          <w:rFonts w:asciiTheme="minorEastAsia" w:hAnsiTheme="minorEastAsia" w:hint="eastAsia"/>
          <w:sz w:val="32"/>
          <w:szCs w:val="32"/>
        </w:rPr>
        <w:t>5.3对口支援</w:t>
      </w:r>
      <w:bookmarkEnd w:id="52"/>
      <w:bookmarkEnd w:id="53"/>
    </w:p>
    <w:p w:rsidR="009A0AC3" w:rsidRDefault="004F2BBB">
      <w:pPr>
        <w:spacing w:line="560" w:lineRule="exact"/>
        <w:ind w:firstLineChars="200" w:firstLine="640"/>
        <w:rPr>
          <w:rFonts w:asciiTheme="minorEastAsia" w:hAnsiTheme="minorEastAsia" w:cs="仿宋_GB2312"/>
          <w:sz w:val="32"/>
          <w:szCs w:val="32"/>
        </w:rPr>
      </w:pPr>
      <w:r>
        <w:rPr>
          <w:rFonts w:asciiTheme="minorEastAsia" w:hAnsiTheme="minorEastAsia" w:cs="仿宋_GB2312" w:hint="eastAsia"/>
          <w:sz w:val="32"/>
          <w:szCs w:val="32"/>
        </w:rPr>
        <w:t>资助学生，资助我校贫困学子75人，每人800元，共计陆万元人民币。进行教育扶贫，对学校帮扶贫困户的子女就读本校，免收住宿费、书本费等。学校还对贫困生开展心理扶贫工作，培养他们的感恩意识，以后立志成才，回报社会。引导贫困生正确看待贫困，克服自卑心理，做生活的强者，成为真正的有益于社会的人。加强与学生、家长的沟通与交流，及时发现问题学生，防范于未然。抓好生活习惯,培养学生自理能力、自立能力和高贵的修养。开展形式多样的主题班会，教育学生学会感恩、惜时、养成良好的习惯和生活作风。</w:t>
      </w:r>
    </w:p>
    <w:p w:rsidR="009A0AC3" w:rsidRDefault="004F2BBB">
      <w:pPr>
        <w:spacing w:line="560" w:lineRule="exact"/>
        <w:ind w:firstLineChars="200" w:firstLine="640"/>
        <w:outlineLvl w:val="0"/>
        <w:rPr>
          <w:rFonts w:asciiTheme="minorEastAsia" w:hAnsiTheme="minorEastAsia"/>
          <w:sz w:val="32"/>
          <w:szCs w:val="32"/>
        </w:rPr>
      </w:pPr>
      <w:bookmarkStart w:id="54" w:name="_Toc504331447"/>
      <w:bookmarkStart w:id="55" w:name="_Toc504330248"/>
      <w:r>
        <w:rPr>
          <w:rFonts w:asciiTheme="minorEastAsia" w:hAnsiTheme="minorEastAsia" w:hint="eastAsia"/>
          <w:sz w:val="32"/>
          <w:szCs w:val="32"/>
        </w:rPr>
        <w:t>6.举办者履责</w:t>
      </w:r>
      <w:bookmarkStart w:id="56" w:name="_Toc504330249"/>
      <w:bookmarkEnd w:id="54"/>
      <w:bookmarkEnd w:id="55"/>
    </w:p>
    <w:p w:rsidR="009A0AC3" w:rsidRDefault="004F2BBB">
      <w:pPr>
        <w:spacing w:line="560" w:lineRule="exact"/>
        <w:ind w:firstLineChars="200" w:firstLine="640"/>
        <w:outlineLvl w:val="1"/>
        <w:rPr>
          <w:rFonts w:asciiTheme="minorEastAsia" w:hAnsiTheme="minorEastAsia"/>
          <w:b/>
          <w:sz w:val="32"/>
          <w:szCs w:val="32"/>
        </w:rPr>
      </w:pPr>
      <w:bookmarkStart w:id="57" w:name="_Toc504331448"/>
      <w:r>
        <w:rPr>
          <w:rFonts w:asciiTheme="minorEastAsia" w:hAnsiTheme="minorEastAsia" w:hint="eastAsia"/>
          <w:sz w:val="32"/>
          <w:szCs w:val="32"/>
        </w:rPr>
        <w:t>6.1经费</w:t>
      </w:r>
      <w:bookmarkEnd w:id="56"/>
      <w:bookmarkEnd w:id="57"/>
    </w:p>
    <w:p w:rsidR="009A0AC3" w:rsidRDefault="004F2BBB">
      <w:pPr>
        <w:ind w:firstLineChars="200" w:firstLine="640"/>
        <w:rPr>
          <w:rFonts w:ascii="宋体" w:eastAsia="宋体" w:hAnsi="宋体"/>
          <w:sz w:val="32"/>
          <w:szCs w:val="32"/>
        </w:rPr>
      </w:pPr>
      <w:r>
        <w:rPr>
          <w:rFonts w:ascii="宋体" w:eastAsia="宋体" w:hAnsi="宋体" w:hint="eastAsia"/>
          <w:sz w:val="32"/>
          <w:szCs w:val="32"/>
        </w:rPr>
        <w:lastRenderedPageBreak/>
        <w:t>财务科根据学校要求以及各科室上报的数据认真做好年初预算工作，保证学校发展经费能够得到有力保障。学校生均财政拨款标准和生均预算内公用经费标准按照年度预算文件进行，按时足额拨付并逐步提高；省级以上建设项目地方配套经费足额到位；每年教育附加费按照一定的比例逐年提升。学校建立了健全的财务和资产管理制度，资金的收入和支出严格按照学校财务管理制度和区财政厅的文件要求执行，学校各项资产的购买和管理严格按照资产管理制度进行，每学期末对学校财产进行清查，保证资产的安全。在专项经费管理上，学校明确专项资金来源、使用范围、开支标准，审批人员、权限、流程，明确了相关人员的责任，按要求、按预算、按程序管理好项目资金。政策性经费、生均拨款、项目投入经费能及时到位，严格执行财务制度，保证了财务、资产管理制度的健全、规范及执行的有效性。</w:t>
      </w:r>
    </w:p>
    <w:p w:rsidR="009A0AC3" w:rsidRDefault="004F2BBB">
      <w:pPr>
        <w:spacing w:line="560" w:lineRule="exact"/>
        <w:ind w:firstLineChars="200" w:firstLine="640"/>
        <w:rPr>
          <w:rFonts w:asciiTheme="minorEastAsia" w:hAnsiTheme="minorEastAsia"/>
          <w:color w:val="000000" w:themeColor="text1"/>
          <w:sz w:val="32"/>
          <w:szCs w:val="32"/>
        </w:rPr>
      </w:pPr>
      <w:r>
        <w:rPr>
          <w:rFonts w:asciiTheme="minorEastAsia" w:hAnsiTheme="minorEastAsia" w:hint="eastAsia"/>
          <w:sz w:val="32"/>
          <w:szCs w:val="32"/>
        </w:rPr>
        <w:t>2017年度，学校总收入</w:t>
      </w:r>
      <w:r>
        <w:rPr>
          <w:rFonts w:asciiTheme="minorEastAsia" w:hAnsiTheme="minorEastAsia"/>
          <w:sz w:val="32"/>
          <w:szCs w:val="32"/>
        </w:rPr>
        <w:t>2670.66</w:t>
      </w:r>
      <w:r>
        <w:rPr>
          <w:rFonts w:asciiTheme="minorEastAsia" w:hAnsiTheme="minorEastAsia" w:hint="eastAsia"/>
          <w:sz w:val="32"/>
          <w:szCs w:val="32"/>
        </w:rPr>
        <w:t>2万元，</w:t>
      </w:r>
      <w:r>
        <w:rPr>
          <w:rFonts w:asciiTheme="minorEastAsia" w:hAnsiTheme="minorEastAsia" w:hint="eastAsia"/>
          <w:color w:val="000000" w:themeColor="text1"/>
          <w:sz w:val="32"/>
          <w:szCs w:val="32"/>
        </w:rPr>
        <w:t>主要财政拨款，包括财政统发工资、公用经费、项目资金三大部分。学校总支出额</w:t>
      </w:r>
      <w:r w:rsidRPr="008A3CE8">
        <w:rPr>
          <w:rFonts w:asciiTheme="minorEastAsia" w:hAnsiTheme="minorEastAsia"/>
          <w:sz w:val="32"/>
          <w:szCs w:val="32"/>
        </w:rPr>
        <w:t>2</w:t>
      </w:r>
      <w:r w:rsidR="008A3CE8" w:rsidRPr="008A3CE8">
        <w:rPr>
          <w:rFonts w:asciiTheme="minorEastAsia" w:hAnsiTheme="minorEastAsia" w:hint="eastAsia"/>
          <w:sz w:val="32"/>
          <w:szCs w:val="32"/>
        </w:rPr>
        <w:t>809.4565</w:t>
      </w:r>
      <w:r>
        <w:rPr>
          <w:rFonts w:asciiTheme="minorEastAsia" w:hAnsiTheme="minorEastAsia" w:hint="eastAsia"/>
          <w:color w:val="000000" w:themeColor="text1"/>
          <w:sz w:val="32"/>
          <w:szCs w:val="32"/>
        </w:rPr>
        <w:t>万元，主要用于基础设施建设、设备采购、日常教学经费、教学改革及研究、师资建设、图书购置、其它支出等。支付学校教师工资、绩效等费用占总支出的</w:t>
      </w:r>
      <w:r w:rsidR="008A3CE8" w:rsidRPr="008A3CE8">
        <w:rPr>
          <w:rFonts w:asciiTheme="minorEastAsia" w:hAnsiTheme="minorEastAsia" w:hint="eastAsia"/>
          <w:color w:val="000000" w:themeColor="text1"/>
          <w:sz w:val="32"/>
          <w:szCs w:val="32"/>
        </w:rPr>
        <w:t>5</w:t>
      </w:r>
      <w:r w:rsidR="0094529C">
        <w:rPr>
          <w:rFonts w:asciiTheme="minorEastAsia" w:hAnsiTheme="minorEastAsia" w:hint="eastAsia"/>
          <w:color w:val="000000" w:themeColor="text1"/>
          <w:sz w:val="32"/>
          <w:szCs w:val="32"/>
        </w:rPr>
        <w:t>6</w:t>
      </w:r>
      <w:r w:rsidR="008A3CE8" w:rsidRPr="008A3CE8">
        <w:rPr>
          <w:rFonts w:asciiTheme="minorEastAsia" w:hAnsiTheme="minorEastAsia" w:hint="eastAsia"/>
          <w:color w:val="000000" w:themeColor="text1"/>
          <w:sz w:val="32"/>
          <w:szCs w:val="32"/>
        </w:rPr>
        <w:t>.1</w:t>
      </w:r>
      <w:r w:rsidR="0094529C">
        <w:rPr>
          <w:rFonts w:asciiTheme="minorEastAsia" w:hAnsiTheme="minorEastAsia" w:hint="eastAsia"/>
          <w:color w:val="000000" w:themeColor="text1"/>
          <w:sz w:val="32"/>
          <w:szCs w:val="32"/>
        </w:rPr>
        <w:t>4</w:t>
      </w:r>
      <w:r>
        <w:rPr>
          <w:rFonts w:asciiTheme="minorEastAsia" w:hAnsiTheme="minorEastAsia" w:hint="eastAsia"/>
          <w:color w:val="000000" w:themeColor="text1"/>
          <w:sz w:val="32"/>
          <w:szCs w:val="32"/>
        </w:rPr>
        <w:t>%，学校日常教学经费支出占总支出的</w:t>
      </w:r>
      <w:r w:rsidRPr="008A3CE8">
        <w:rPr>
          <w:rFonts w:asciiTheme="minorEastAsia" w:hAnsiTheme="minorEastAsia" w:hint="eastAsia"/>
          <w:color w:val="000000" w:themeColor="text1"/>
          <w:sz w:val="32"/>
          <w:szCs w:val="32"/>
        </w:rPr>
        <w:t>1</w:t>
      </w:r>
      <w:r w:rsidR="00C12917">
        <w:rPr>
          <w:rFonts w:asciiTheme="minorEastAsia" w:hAnsiTheme="minorEastAsia" w:hint="eastAsia"/>
          <w:color w:val="000000" w:themeColor="text1"/>
          <w:sz w:val="32"/>
          <w:szCs w:val="32"/>
        </w:rPr>
        <w:t>3.53</w:t>
      </w:r>
      <w:r w:rsidRPr="008A3CE8">
        <w:rPr>
          <w:rFonts w:asciiTheme="minorEastAsia" w:hAnsiTheme="minorEastAsia" w:hint="eastAsia"/>
          <w:color w:val="000000" w:themeColor="text1"/>
          <w:sz w:val="32"/>
          <w:szCs w:val="32"/>
        </w:rPr>
        <w:t>%</w:t>
      </w:r>
      <w:r>
        <w:rPr>
          <w:rFonts w:asciiTheme="minorEastAsia" w:hAnsiTheme="minorEastAsia" w:hint="eastAsia"/>
          <w:color w:val="000000" w:themeColor="text1"/>
          <w:sz w:val="32"/>
          <w:szCs w:val="32"/>
        </w:rPr>
        <w:t>。</w:t>
      </w:r>
      <w:bookmarkStart w:id="58" w:name="_Toc504330250"/>
    </w:p>
    <w:p w:rsidR="009A0AC3" w:rsidRDefault="004F2BBB">
      <w:pPr>
        <w:spacing w:line="560" w:lineRule="exact"/>
        <w:ind w:firstLineChars="200" w:firstLine="640"/>
        <w:outlineLvl w:val="1"/>
        <w:rPr>
          <w:rFonts w:asciiTheme="minorEastAsia" w:hAnsiTheme="minorEastAsia"/>
          <w:b/>
          <w:sz w:val="32"/>
          <w:szCs w:val="32"/>
        </w:rPr>
      </w:pPr>
      <w:bookmarkStart w:id="59" w:name="_Toc504331449"/>
      <w:r>
        <w:rPr>
          <w:rFonts w:asciiTheme="minorEastAsia" w:hAnsiTheme="minorEastAsia" w:hint="eastAsia"/>
          <w:sz w:val="32"/>
          <w:szCs w:val="32"/>
        </w:rPr>
        <w:t>6.2政策措施</w:t>
      </w:r>
      <w:bookmarkEnd w:id="58"/>
      <w:bookmarkEnd w:id="59"/>
    </w:p>
    <w:p w:rsidR="009A0AC3" w:rsidRDefault="004F2BBB">
      <w:pPr>
        <w:ind w:firstLineChars="200" w:firstLine="640"/>
        <w:rPr>
          <w:rFonts w:ascii="宋体" w:eastAsia="宋体" w:hAnsi="宋体"/>
          <w:sz w:val="32"/>
          <w:szCs w:val="32"/>
        </w:rPr>
      </w:pPr>
      <w:r>
        <w:rPr>
          <w:rFonts w:ascii="宋体" w:eastAsia="宋体" w:hAnsi="宋体" w:hint="eastAsia"/>
          <w:sz w:val="32"/>
          <w:szCs w:val="32"/>
        </w:rPr>
        <w:t>学校强化党委领导学校发展方向，校长全面负责学校各项</w:t>
      </w:r>
      <w:r>
        <w:rPr>
          <w:rFonts w:ascii="宋体" w:eastAsia="宋体" w:hAnsi="宋体" w:hint="eastAsia"/>
          <w:sz w:val="32"/>
          <w:szCs w:val="32"/>
        </w:rPr>
        <w:lastRenderedPageBreak/>
        <w:t>工作，定期召开校务会议、党政联席会议，审议表决学校重大工作，保证政务公开透明。学校实行严格的选人用人制度，干部选拔任用严格按照《党政领导干部选拔任用工作条例》及《事业单位领导人员管理暂行规定》的程序和要求，制定《广西钦州商贸学校正（副）科级干部选拔任用工作方案》。</w:t>
      </w:r>
    </w:p>
    <w:p w:rsidR="009A0AC3" w:rsidRDefault="004F2BBB">
      <w:pPr>
        <w:ind w:firstLineChars="200" w:firstLine="640"/>
        <w:rPr>
          <w:rFonts w:ascii="宋体" w:eastAsia="宋体" w:hAnsi="宋体"/>
          <w:sz w:val="32"/>
          <w:szCs w:val="32"/>
        </w:rPr>
      </w:pPr>
      <w:r>
        <w:rPr>
          <w:rFonts w:ascii="宋体" w:eastAsia="宋体" w:hAnsi="宋体" w:hint="eastAsia"/>
          <w:sz w:val="32"/>
          <w:szCs w:val="32"/>
        </w:rPr>
        <w:t>学校实行全员聘任，实施绩效管理。根据“多劳多得、优绩优酬”的原则，不断完善《奖励性绩效工资分配办法》，根据教师、职工和工勤人员不同的特点，着重从取得的教学、教研实绩和完成工作量等方面进行考核，拉开奖励性绩效工资收入差距，受到了教职工广泛的拥护和支持。</w:t>
      </w:r>
    </w:p>
    <w:p w:rsidR="009A0AC3" w:rsidRDefault="004F2BBB">
      <w:pPr>
        <w:ind w:firstLineChars="200" w:firstLine="640"/>
        <w:rPr>
          <w:rFonts w:ascii="宋体" w:eastAsia="宋体" w:hAnsi="宋体"/>
          <w:sz w:val="32"/>
          <w:szCs w:val="32"/>
        </w:rPr>
      </w:pPr>
      <w:r>
        <w:rPr>
          <w:rFonts w:ascii="宋体" w:eastAsia="宋体" w:hAnsi="宋体" w:hint="eastAsia"/>
          <w:sz w:val="32"/>
          <w:szCs w:val="32"/>
        </w:rPr>
        <w:t>学校认真执行“三重一大”内部议事和决策机制，充分发挥党委、纪委与工会组织的监督与保障职能，进一步完善学校章程和校务公开及采购招投标等各项管理制度，修订完善了《广西钦州商贸学校三公经费管理规定》、《广西钦州商贸学校职务消费管理办法》和《广西钦州商贸学校公务用车管理规定》等20多项管理规定并实施。通过修订、完善教学、学生、安全、后勤、资产等方面的管理制度，建立健全绩效考评机制，强化制度执行检查，保证制度标准落实并逐步形成长效机制，用制度管人管权管事，逐步实现依法依规治校，全面提升学校管理水平。</w:t>
      </w:r>
    </w:p>
    <w:p w:rsidR="009A0AC3" w:rsidRDefault="004F2BBB">
      <w:pPr>
        <w:ind w:firstLineChars="200" w:firstLine="640"/>
        <w:outlineLvl w:val="0"/>
        <w:rPr>
          <w:rFonts w:asciiTheme="minorEastAsia" w:hAnsiTheme="minorEastAsia"/>
          <w:sz w:val="32"/>
          <w:szCs w:val="32"/>
        </w:rPr>
      </w:pPr>
      <w:bookmarkStart w:id="60" w:name="_Toc504331450"/>
      <w:bookmarkStart w:id="61" w:name="_Toc504330251"/>
      <w:r>
        <w:rPr>
          <w:rFonts w:asciiTheme="minorEastAsia" w:hAnsiTheme="minorEastAsia" w:hint="eastAsia"/>
          <w:sz w:val="32"/>
          <w:szCs w:val="32"/>
        </w:rPr>
        <w:t>7.特色创新</w:t>
      </w:r>
      <w:bookmarkEnd w:id="60"/>
      <w:bookmarkEnd w:id="61"/>
    </w:p>
    <w:p w:rsidR="009A0AC3" w:rsidRDefault="004F2BBB">
      <w:pPr>
        <w:ind w:firstLineChars="200" w:firstLine="640"/>
        <w:outlineLvl w:val="1"/>
        <w:rPr>
          <w:rFonts w:asciiTheme="minorEastAsia" w:hAnsiTheme="minorEastAsia"/>
          <w:sz w:val="32"/>
          <w:szCs w:val="32"/>
        </w:rPr>
      </w:pPr>
      <w:bookmarkStart w:id="62" w:name="_Toc504331451"/>
      <w:bookmarkStart w:id="63" w:name="_Toc504330252"/>
      <w:r>
        <w:rPr>
          <w:rFonts w:asciiTheme="minorEastAsia" w:hAnsiTheme="minorEastAsia" w:hint="eastAsia"/>
          <w:sz w:val="32"/>
          <w:szCs w:val="32"/>
        </w:rPr>
        <w:t>发挥广西现代商贸职教集团优势提高电子商务专业建设质</w:t>
      </w:r>
      <w:r>
        <w:rPr>
          <w:rFonts w:asciiTheme="minorEastAsia" w:hAnsiTheme="minorEastAsia" w:hint="eastAsia"/>
          <w:sz w:val="32"/>
          <w:szCs w:val="32"/>
        </w:rPr>
        <w:lastRenderedPageBreak/>
        <w:t>量</w:t>
      </w:r>
      <w:bookmarkEnd w:id="62"/>
      <w:bookmarkEnd w:id="63"/>
    </w:p>
    <w:p w:rsidR="009A0AC3" w:rsidRDefault="004F2BBB">
      <w:pPr>
        <w:ind w:firstLineChars="200" w:firstLine="640"/>
        <w:rPr>
          <w:rFonts w:asciiTheme="minorEastAsia" w:hAnsiTheme="minorEastAsia"/>
          <w:sz w:val="32"/>
          <w:szCs w:val="32"/>
        </w:rPr>
      </w:pPr>
      <w:r>
        <w:rPr>
          <w:rFonts w:asciiTheme="minorEastAsia" w:hAnsiTheme="minorEastAsia" w:hint="eastAsia"/>
          <w:sz w:val="32"/>
          <w:szCs w:val="32"/>
        </w:rPr>
        <w:t>广西现代商贸职教集团，是经自治区教育厅、自治区供销合作联社等上级部门批准成立。集团由8所供销社系统中高职院校，39家相关行业企业、行业协会组成。集团的组建，将充分发挥行业指导和企业参与作用，发挥资源优势，探索体制与机制上的创新，破解商贸流通服务职业教育办学主体单一、实习实训条件不足，校企合作不够深入等一系列影响自治区商贸流通服务职业教育发展的关键问题。我校根据《广西供销社农村现代流通服务网络项目建设规划（2012-2022年）》及广西壮族自治区供销合作社第五次代表大会精神的要求，结合学校现代商务专业群的优势（会计、电子商务等），大力发展电子商务专业。通过组织专业教师深入农村进行充分调研，于今年10月份与灵山供销社、浦北供销社、广西众加赢电子商务有限公司、北京顺路易购科技有限公司等单位合作建立OTO实训中心，由灵山供销社提供农特产品、众加赢公司提供进口食品及技术支持，共同制订人才培养目标、共同制订培训课程及营销方案，聘请资深电商专家对我校专业老师、学生进行120人次的一站式网店运营等方面进行业务培训。学校与钦州圆通快递、钦州顺丰速递等众多快递公司合作，建立小松鼠快递实训室。OTO实训中心及小松鼠快递实训室的建立，集商品入库、商品拍摄上架、网店运营、物流快递、商品核算等功能，让学生真正了解电商实际操作流程，为学生提供了一站式实训岗位，提高了</w:t>
      </w:r>
      <w:r>
        <w:rPr>
          <w:rFonts w:asciiTheme="minorEastAsia" w:hAnsiTheme="minorEastAsia" w:hint="eastAsia"/>
          <w:sz w:val="32"/>
          <w:szCs w:val="32"/>
        </w:rPr>
        <w:lastRenderedPageBreak/>
        <w:t>教师的教学能力，激发了学生的学习兴趣。今年，电子商务专业招生达199人，比去年增加一倍。</w:t>
      </w:r>
    </w:p>
    <w:p w:rsidR="009A0AC3" w:rsidRDefault="004F2B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43550" cy="55435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5543550"/>
                    </a:xfrm>
                    <a:prstGeom prst="rect">
                      <a:avLst/>
                    </a:prstGeom>
                  </pic:spPr>
                </pic:pic>
              </a:graphicData>
            </a:graphic>
          </wp:inline>
        </w:drawing>
      </w:r>
    </w:p>
    <w:p w:rsidR="009A0AC3" w:rsidRDefault="004F2BBB">
      <w:pPr>
        <w:ind w:firstLineChars="200" w:firstLine="562"/>
        <w:rPr>
          <w:rFonts w:asciiTheme="minorEastAsia" w:hAnsiTheme="minorEastAsia"/>
          <w:b/>
          <w:sz w:val="28"/>
          <w:szCs w:val="28"/>
        </w:rPr>
      </w:pPr>
      <w:r>
        <w:rPr>
          <w:rFonts w:asciiTheme="minorEastAsia" w:hAnsiTheme="minorEastAsia" w:hint="eastAsia"/>
          <w:b/>
          <w:sz w:val="28"/>
          <w:szCs w:val="28"/>
        </w:rPr>
        <w:t>OTO实训中心</w:t>
      </w:r>
    </w:p>
    <w:p w:rsidR="009A0AC3" w:rsidRDefault="004F2BBB">
      <w:pPr>
        <w:ind w:firstLineChars="200" w:firstLine="643"/>
        <w:rPr>
          <w:rFonts w:asciiTheme="minorEastAsia" w:hAnsiTheme="minorEastAsia"/>
          <w:b/>
          <w:sz w:val="32"/>
          <w:szCs w:val="32"/>
        </w:rPr>
      </w:pPr>
      <w:r>
        <w:rPr>
          <w:rFonts w:asciiTheme="minorEastAsia" w:hAnsiTheme="minorEastAsia"/>
          <w:b/>
          <w:noProof/>
          <w:sz w:val="32"/>
          <w:szCs w:val="32"/>
        </w:rPr>
        <w:lastRenderedPageBreak/>
        <w:drawing>
          <wp:inline distT="0" distB="0" distL="0" distR="0">
            <wp:extent cx="5543550" cy="5543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5543550"/>
                    </a:xfrm>
                    <a:prstGeom prst="rect">
                      <a:avLst/>
                    </a:prstGeom>
                  </pic:spPr>
                </pic:pic>
              </a:graphicData>
            </a:graphic>
          </wp:inline>
        </w:drawing>
      </w:r>
    </w:p>
    <w:p w:rsidR="009A0AC3" w:rsidRDefault="004F2BBB">
      <w:pPr>
        <w:ind w:firstLineChars="200" w:firstLine="562"/>
        <w:rPr>
          <w:rFonts w:asciiTheme="minorEastAsia" w:hAnsiTheme="minorEastAsia"/>
          <w:b/>
          <w:sz w:val="28"/>
          <w:szCs w:val="28"/>
        </w:rPr>
      </w:pPr>
      <w:r>
        <w:rPr>
          <w:rFonts w:asciiTheme="minorEastAsia" w:hAnsiTheme="minorEastAsia" w:hint="eastAsia"/>
          <w:b/>
          <w:sz w:val="28"/>
          <w:szCs w:val="28"/>
        </w:rPr>
        <w:t>电商技能培训</w:t>
      </w:r>
    </w:p>
    <w:p w:rsidR="009A0AC3" w:rsidRDefault="004F2BBB">
      <w:pPr>
        <w:ind w:firstLineChars="200" w:firstLine="643"/>
        <w:rPr>
          <w:rFonts w:asciiTheme="minorEastAsia" w:hAnsiTheme="minorEastAsia"/>
          <w:b/>
          <w:sz w:val="32"/>
          <w:szCs w:val="32"/>
        </w:rPr>
      </w:pPr>
      <w:r>
        <w:rPr>
          <w:rFonts w:asciiTheme="minorEastAsia" w:hAnsiTheme="minorEastAsia"/>
          <w:b/>
          <w:noProof/>
          <w:sz w:val="32"/>
          <w:szCs w:val="32"/>
        </w:rPr>
        <w:lastRenderedPageBreak/>
        <w:drawing>
          <wp:inline distT="0" distB="0" distL="0" distR="0">
            <wp:extent cx="5543550" cy="73914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7391400"/>
                    </a:xfrm>
                    <a:prstGeom prst="rect">
                      <a:avLst/>
                    </a:prstGeom>
                  </pic:spPr>
                </pic:pic>
              </a:graphicData>
            </a:graphic>
          </wp:inline>
        </w:drawing>
      </w:r>
    </w:p>
    <w:p w:rsidR="009A0AC3" w:rsidRDefault="004F2BBB">
      <w:pPr>
        <w:ind w:firstLineChars="200" w:firstLine="562"/>
        <w:rPr>
          <w:rFonts w:asciiTheme="minorEastAsia" w:hAnsiTheme="minorEastAsia"/>
          <w:b/>
          <w:sz w:val="28"/>
          <w:szCs w:val="28"/>
        </w:rPr>
      </w:pPr>
      <w:r>
        <w:rPr>
          <w:rFonts w:asciiTheme="minorEastAsia" w:hAnsiTheme="minorEastAsia" w:hint="eastAsia"/>
          <w:b/>
          <w:sz w:val="28"/>
          <w:szCs w:val="28"/>
        </w:rPr>
        <w:t>小松鼠快递实训室</w:t>
      </w:r>
    </w:p>
    <w:p w:rsidR="009A0AC3" w:rsidRDefault="004F2BBB">
      <w:pPr>
        <w:ind w:firstLineChars="200" w:firstLine="643"/>
        <w:rPr>
          <w:rFonts w:asciiTheme="minorEastAsia" w:hAnsiTheme="minorEastAsia"/>
          <w:b/>
          <w:sz w:val="32"/>
          <w:szCs w:val="32"/>
        </w:rPr>
      </w:pPr>
      <w:r>
        <w:rPr>
          <w:rFonts w:asciiTheme="minorEastAsia" w:hAnsiTheme="minorEastAsia"/>
          <w:b/>
          <w:noProof/>
          <w:sz w:val="32"/>
          <w:szCs w:val="32"/>
        </w:rPr>
        <w:lastRenderedPageBreak/>
        <w:drawing>
          <wp:inline distT="0" distB="0" distL="0" distR="0">
            <wp:extent cx="5543550" cy="7391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7391400"/>
                    </a:xfrm>
                    <a:prstGeom prst="rect">
                      <a:avLst/>
                    </a:prstGeom>
                  </pic:spPr>
                </pic:pic>
              </a:graphicData>
            </a:graphic>
          </wp:inline>
        </w:drawing>
      </w:r>
    </w:p>
    <w:p w:rsidR="009A0AC3" w:rsidRDefault="004F2BBB">
      <w:pPr>
        <w:ind w:firstLineChars="200" w:firstLine="562"/>
        <w:rPr>
          <w:rFonts w:asciiTheme="minorEastAsia" w:hAnsiTheme="minorEastAsia"/>
          <w:b/>
          <w:sz w:val="28"/>
          <w:szCs w:val="28"/>
        </w:rPr>
      </w:pPr>
      <w:r>
        <w:rPr>
          <w:rFonts w:asciiTheme="minorEastAsia" w:hAnsiTheme="minorEastAsia" w:hint="eastAsia"/>
          <w:b/>
          <w:sz w:val="28"/>
          <w:szCs w:val="28"/>
        </w:rPr>
        <w:t>物流专业学生实训</w:t>
      </w:r>
    </w:p>
    <w:p w:rsidR="009A0AC3" w:rsidRDefault="009A0AC3">
      <w:pPr>
        <w:ind w:firstLineChars="200" w:firstLine="643"/>
        <w:rPr>
          <w:rFonts w:asciiTheme="minorEastAsia" w:hAnsiTheme="minorEastAsia"/>
          <w:b/>
          <w:sz w:val="32"/>
          <w:szCs w:val="32"/>
        </w:rPr>
      </w:pPr>
    </w:p>
    <w:p w:rsidR="009A0AC3" w:rsidRDefault="004F2BBB">
      <w:pPr>
        <w:pStyle w:val="1"/>
        <w:spacing w:before="0" w:after="0" w:line="560" w:lineRule="exact"/>
        <w:ind w:firstLineChars="200" w:firstLine="640"/>
        <w:rPr>
          <w:rFonts w:asciiTheme="minorEastAsia" w:hAnsiTheme="minorEastAsia"/>
          <w:b w:val="0"/>
          <w:sz w:val="32"/>
          <w:szCs w:val="32"/>
        </w:rPr>
      </w:pPr>
      <w:bookmarkStart w:id="64" w:name="_Toc504331452"/>
      <w:bookmarkStart w:id="65" w:name="_Toc504330253"/>
      <w:r>
        <w:rPr>
          <w:rFonts w:asciiTheme="minorEastAsia" w:hAnsiTheme="minorEastAsia" w:hint="eastAsia"/>
          <w:b w:val="0"/>
          <w:sz w:val="32"/>
          <w:szCs w:val="32"/>
        </w:rPr>
        <w:lastRenderedPageBreak/>
        <w:t>8.主要问题和改进措施</w:t>
      </w:r>
      <w:bookmarkEnd w:id="64"/>
      <w:bookmarkEnd w:id="65"/>
    </w:p>
    <w:p w:rsidR="00463060" w:rsidRDefault="00463060" w:rsidP="002B3AB0">
      <w:pPr>
        <w:ind w:firstLineChars="200" w:firstLine="640"/>
        <w:rPr>
          <w:rFonts w:asciiTheme="minorEastAsia" w:hAnsiTheme="minorEastAsia"/>
          <w:sz w:val="32"/>
          <w:szCs w:val="32"/>
        </w:rPr>
      </w:pPr>
      <w:r w:rsidRPr="002B3AB0">
        <w:rPr>
          <w:rFonts w:asciiTheme="minorEastAsia" w:hAnsiTheme="minorEastAsia" w:hint="eastAsia"/>
          <w:sz w:val="32"/>
          <w:szCs w:val="32"/>
        </w:rPr>
        <w:t>1.学校</w:t>
      </w:r>
      <w:r w:rsidRPr="002B3AB0">
        <w:rPr>
          <w:rFonts w:asciiTheme="minorEastAsia" w:hAnsiTheme="minorEastAsia"/>
          <w:sz w:val="32"/>
          <w:szCs w:val="32"/>
        </w:rPr>
        <w:t>占地面积小</w:t>
      </w:r>
      <w:r w:rsidRPr="002B3AB0">
        <w:rPr>
          <w:rFonts w:asciiTheme="minorEastAsia" w:hAnsiTheme="minorEastAsia" w:hint="eastAsia"/>
          <w:sz w:val="32"/>
          <w:szCs w:val="32"/>
        </w:rPr>
        <w:t>，</w:t>
      </w:r>
      <w:r w:rsidR="002B3AB0" w:rsidRPr="002B3AB0">
        <w:rPr>
          <w:rFonts w:asciiTheme="minorEastAsia" w:hAnsiTheme="minorEastAsia" w:hint="eastAsia"/>
          <w:sz w:val="32"/>
          <w:szCs w:val="32"/>
        </w:rPr>
        <w:t>成</w:t>
      </w:r>
      <w:r w:rsidR="002B3AB0" w:rsidRPr="002B3AB0">
        <w:rPr>
          <w:rFonts w:asciiTheme="minorEastAsia" w:hAnsiTheme="minorEastAsia"/>
          <w:sz w:val="32"/>
          <w:szCs w:val="32"/>
        </w:rPr>
        <w:t>为</w:t>
      </w:r>
      <w:r w:rsidR="002B3AB0" w:rsidRPr="002B3AB0">
        <w:rPr>
          <w:rFonts w:asciiTheme="minorEastAsia" w:hAnsiTheme="minorEastAsia" w:hint="eastAsia"/>
          <w:sz w:val="32"/>
          <w:szCs w:val="32"/>
        </w:rPr>
        <w:t>制约我校发展瓶颈问题。</w:t>
      </w:r>
    </w:p>
    <w:p w:rsidR="002B3AB0" w:rsidRDefault="00FF1892" w:rsidP="002B3AB0">
      <w:pPr>
        <w:ind w:firstLineChars="200" w:firstLine="640"/>
        <w:rPr>
          <w:rFonts w:asciiTheme="minorEastAsia" w:hAnsiTheme="minorEastAsia"/>
          <w:sz w:val="32"/>
          <w:szCs w:val="32"/>
        </w:rPr>
      </w:pPr>
      <w:r>
        <w:rPr>
          <w:rFonts w:asciiTheme="minorEastAsia" w:hAnsiTheme="minorEastAsia" w:hint="eastAsia"/>
          <w:sz w:val="32"/>
          <w:szCs w:val="32"/>
        </w:rPr>
        <w:t>学校</w:t>
      </w:r>
      <w:r w:rsidRPr="00FF1892">
        <w:rPr>
          <w:rFonts w:asciiTheme="minorEastAsia" w:hAnsiTheme="minorEastAsia" w:hint="eastAsia"/>
          <w:sz w:val="32"/>
          <w:szCs w:val="32"/>
        </w:rPr>
        <w:t>现有两个校区，一个位于钦州市南珠西大街138号的本校校区（校园面积20.3亩），一个是2016年租用的钦南区委党校内的梅园校区（面积约15亩）。</w:t>
      </w:r>
      <w:r w:rsidR="006C73E2">
        <w:rPr>
          <w:rFonts w:asciiTheme="minorEastAsia" w:hAnsiTheme="minorEastAsia" w:hint="eastAsia"/>
          <w:sz w:val="32"/>
          <w:szCs w:val="32"/>
        </w:rPr>
        <w:t>生</w:t>
      </w:r>
      <w:r w:rsidR="006C73E2">
        <w:rPr>
          <w:rFonts w:asciiTheme="minorEastAsia" w:hAnsiTheme="minorEastAsia"/>
          <w:sz w:val="32"/>
          <w:szCs w:val="32"/>
        </w:rPr>
        <w:t>均占地面积</w:t>
      </w:r>
      <w:r w:rsidR="006C73E2">
        <w:rPr>
          <w:rFonts w:asciiTheme="minorEastAsia" w:hAnsiTheme="minorEastAsia" w:hint="eastAsia"/>
          <w:sz w:val="32"/>
          <w:szCs w:val="32"/>
        </w:rPr>
        <w:t>7.1平方</w:t>
      </w:r>
      <w:r w:rsidR="006C73E2">
        <w:rPr>
          <w:rFonts w:asciiTheme="minorEastAsia" w:hAnsiTheme="minorEastAsia"/>
          <w:sz w:val="32"/>
          <w:szCs w:val="32"/>
        </w:rPr>
        <w:t>米</w:t>
      </w:r>
      <w:r w:rsidR="006C73E2">
        <w:rPr>
          <w:rFonts w:asciiTheme="minorEastAsia" w:hAnsiTheme="minorEastAsia" w:hint="eastAsia"/>
          <w:sz w:val="32"/>
          <w:szCs w:val="32"/>
        </w:rPr>
        <w:t>，严重</w:t>
      </w:r>
      <w:r w:rsidR="006C73E2">
        <w:rPr>
          <w:rFonts w:asciiTheme="minorEastAsia" w:hAnsiTheme="minorEastAsia"/>
          <w:sz w:val="32"/>
          <w:szCs w:val="32"/>
        </w:rPr>
        <w:t>制约学校的发展水平</w:t>
      </w:r>
      <w:r w:rsidR="006C73E2">
        <w:rPr>
          <w:rFonts w:asciiTheme="minorEastAsia" w:hAnsiTheme="minorEastAsia" w:hint="eastAsia"/>
          <w:sz w:val="32"/>
          <w:szCs w:val="32"/>
        </w:rPr>
        <w:t>。</w:t>
      </w:r>
    </w:p>
    <w:p w:rsidR="006C73E2" w:rsidRDefault="006C73E2" w:rsidP="002B3AB0">
      <w:pPr>
        <w:ind w:firstLineChars="200" w:firstLine="640"/>
        <w:rPr>
          <w:rFonts w:asciiTheme="minorEastAsia" w:hAnsiTheme="minorEastAsia"/>
          <w:sz w:val="32"/>
          <w:szCs w:val="32"/>
        </w:rPr>
      </w:pPr>
      <w:r w:rsidRPr="006C73E2">
        <w:rPr>
          <w:rFonts w:asciiTheme="minorEastAsia" w:hAnsiTheme="minorEastAsia" w:hint="eastAsia"/>
          <w:sz w:val="32"/>
          <w:szCs w:val="32"/>
        </w:rPr>
        <w:t>针对学校办学规模不断增大与校园面积狭小、技能实训教学要求越来越高与实训场地不足的矛盾问题，学校提出了学校迁建办学、完善办学条件的发展方向。根据国家及广西关于中职学校建设发展的方针政策，结合学校的实际情况，学校对迁建办学提出了“先征地、分步走、多渠道、共建设”的工作思路，通过争取发展中职教育项目贷款、广西普及高中阶段（含中职）教育2017－2020年攻坚计划项目资金和学校自筹资金并引入社会资金投入等实施迁建工程。</w:t>
      </w:r>
    </w:p>
    <w:p w:rsidR="006C73E2" w:rsidRDefault="006C73E2" w:rsidP="002B3AB0">
      <w:pPr>
        <w:ind w:firstLineChars="200" w:firstLine="640"/>
        <w:rPr>
          <w:rFonts w:asciiTheme="minorEastAsia" w:hAnsiTheme="minorEastAsia"/>
          <w:sz w:val="32"/>
          <w:szCs w:val="32"/>
        </w:rPr>
      </w:pPr>
      <w:r w:rsidRPr="006C73E2">
        <w:rPr>
          <w:rFonts w:asciiTheme="minorEastAsia" w:hAnsiTheme="minorEastAsia" w:hint="eastAsia"/>
          <w:sz w:val="32"/>
          <w:szCs w:val="32"/>
        </w:rPr>
        <w:t>根据《广西壮族自治区普及高中阶段教育攻坚计划的通知》精神，学校认真研究做好2017－2020年攻坚计划，申报了学校迁建工程计划，具体建设内容：学校迁建办学规模为全日制中职在校生3500人（占地150亩）；建设面积为70000㎡，其中：教室11000㎡、学生宿舍24500㎡、学生食堂3500㎡、实训场所16000㎡、行政办公用房6000㎡、生活附属房8000㎡、单身教工宿舍1000㎡；运动场地10000㎡。建设相关内容及投资金额数据已报教育厅初审通过，目前学校正积极做好迁建工程</w:t>
      </w:r>
      <w:r w:rsidRPr="006C73E2">
        <w:rPr>
          <w:rFonts w:asciiTheme="minorEastAsia" w:hAnsiTheme="minorEastAsia" w:hint="eastAsia"/>
          <w:sz w:val="32"/>
          <w:szCs w:val="32"/>
        </w:rPr>
        <w:lastRenderedPageBreak/>
        <w:t>的前期工作，想方设法争取各方面支持，力争5年内学校建设有新的突破。</w:t>
      </w:r>
    </w:p>
    <w:p w:rsidR="009A0AC3" w:rsidRDefault="006C73E2">
      <w:pPr>
        <w:widowControl/>
        <w:adjustRightInd w:val="0"/>
        <w:snapToGrid w:val="0"/>
        <w:spacing w:line="560" w:lineRule="exact"/>
        <w:ind w:firstLineChars="200" w:firstLine="640"/>
        <w:rPr>
          <w:rFonts w:asciiTheme="minorEastAsia" w:hAnsiTheme="minorEastAsia" w:cs="宋体"/>
          <w:kern w:val="0"/>
          <w:sz w:val="32"/>
          <w:szCs w:val="32"/>
        </w:rPr>
      </w:pPr>
      <w:r>
        <w:rPr>
          <w:rFonts w:asciiTheme="minorEastAsia" w:hAnsiTheme="minorEastAsia" w:cs="宋体" w:hint="eastAsia"/>
          <w:kern w:val="0"/>
          <w:sz w:val="32"/>
          <w:szCs w:val="32"/>
        </w:rPr>
        <w:t>2</w:t>
      </w:r>
      <w:r>
        <w:rPr>
          <w:rFonts w:asciiTheme="minorEastAsia" w:hAnsiTheme="minorEastAsia" w:cs="宋体"/>
          <w:kern w:val="0"/>
          <w:sz w:val="32"/>
          <w:szCs w:val="32"/>
        </w:rPr>
        <w:t>.</w:t>
      </w:r>
      <w:r w:rsidR="004F2BBB">
        <w:rPr>
          <w:rFonts w:asciiTheme="minorEastAsia" w:hAnsiTheme="minorEastAsia" w:cs="宋体" w:hint="eastAsia"/>
          <w:kern w:val="0"/>
          <w:sz w:val="32"/>
          <w:szCs w:val="32"/>
        </w:rPr>
        <w:t>学校实训设备水平不高。</w:t>
      </w:r>
    </w:p>
    <w:p w:rsidR="009A0AC3" w:rsidRDefault="004F2BBB">
      <w:pPr>
        <w:widowControl/>
        <w:adjustRightInd w:val="0"/>
        <w:snapToGrid w:val="0"/>
        <w:spacing w:line="560" w:lineRule="exact"/>
        <w:ind w:firstLineChars="200" w:firstLine="640"/>
        <w:rPr>
          <w:rFonts w:asciiTheme="minorEastAsia" w:hAnsiTheme="minorEastAsia" w:cs="宋体"/>
          <w:kern w:val="0"/>
          <w:sz w:val="32"/>
          <w:szCs w:val="32"/>
        </w:rPr>
      </w:pPr>
      <w:r>
        <w:rPr>
          <w:rFonts w:asciiTheme="minorEastAsia" w:hAnsiTheme="minorEastAsia" w:cs="宋体" w:hint="eastAsia"/>
          <w:kern w:val="0"/>
          <w:sz w:val="32"/>
          <w:szCs w:val="32"/>
        </w:rPr>
        <w:t>主要原因：一是实训设备逐步老化；二是课程改革的推进对校内实训设备要求在不断提高。</w:t>
      </w:r>
    </w:p>
    <w:p w:rsidR="009A0AC3" w:rsidRDefault="004F2BBB">
      <w:pPr>
        <w:widowControl/>
        <w:adjustRightInd w:val="0"/>
        <w:snapToGrid w:val="0"/>
        <w:spacing w:line="560" w:lineRule="exact"/>
        <w:ind w:firstLineChars="200" w:firstLine="640"/>
        <w:rPr>
          <w:rFonts w:asciiTheme="minorEastAsia" w:hAnsiTheme="minorEastAsia" w:cs="宋体"/>
          <w:kern w:val="0"/>
          <w:sz w:val="32"/>
          <w:szCs w:val="32"/>
        </w:rPr>
      </w:pPr>
      <w:r>
        <w:rPr>
          <w:rFonts w:asciiTheme="minorEastAsia" w:hAnsiTheme="minorEastAsia" w:cs="宋体" w:hint="eastAsia"/>
          <w:kern w:val="0"/>
          <w:sz w:val="32"/>
          <w:szCs w:val="32"/>
        </w:rPr>
        <w:t>改进措施：建议政府、学校加大实训设备投入，适应职业教育发展需求。</w:t>
      </w:r>
    </w:p>
    <w:p w:rsidR="009A0AC3" w:rsidRDefault="006C73E2">
      <w:pPr>
        <w:widowControl/>
        <w:adjustRightInd w:val="0"/>
        <w:snapToGrid w:val="0"/>
        <w:spacing w:line="560" w:lineRule="exact"/>
        <w:ind w:firstLineChars="200" w:firstLine="640"/>
        <w:rPr>
          <w:rFonts w:asciiTheme="minorEastAsia" w:hAnsiTheme="minorEastAsia" w:cs="宋体"/>
          <w:kern w:val="0"/>
          <w:sz w:val="32"/>
          <w:szCs w:val="32"/>
        </w:rPr>
      </w:pPr>
      <w:r>
        <w:rPr>
          <w:rFonts w:asciiTheme="minorEastAsia" w:hAnsiTheme="minorEastAsia" w:cs="宋体" w:hint="eastAsia"/>
          <w:kern w:val="0"/>
          <w:sz w:val="32"/>
          <w:szCs w:val="32"/>
        </w:rPr>
        <w:t>3</w:t>
      </w:r>
      <w:r>
        <w:rPr>
          <w:rFonts w:asciiTheme="minorEastAsia" w:hAnsiTheme="minorEastAsia" w:cs="宋体"/>
          <w:kern w:val="0"/>
          <w:sz w:val="32"/>
          <w:szCs w:val="32"/>
        </w:rPr>
        <w:t>.</w:t>
      </w:r>
      <w:r w:rsidR="004F2BBB">
        <w:rPr>
          <w:rFonts w:asciiTheme="minorEastAsia" w:hAnsiTheme="minorEastAsia" w:cs="宋体" w:hint="eastAsia"/>
          <w:kern w:val="0"/>
          <w:sz w:val="32"/>
          <w:szCs w:val="32"/>
        </w:rPr>
        <w:t>学校具备丰富企业一线工作经历的双师型教师缺口较大。</w:t>
      </w:r>
    </w:p>
    <w:p w:rsidR="009A0AC3" w:rsidRDefault="004F2BBB">
      <w:pPr>
        <w:widowControl/>
        <w:adjustRightInd w:val="0"/>
        <w:snapToGrid w:val="0"/>
        <w:spacing w:line="560" w:lineRule="exact"/>
        <w:ind w:firstLineChars="200" w:firstLine="640"/>
        <w:rPr>
          <w:rFonts w:asciiTheme="minorEastAsia" w:hAnsiTheme="minorEastAsia" w:cs="宋体"/>
          <w:kern w:val="0"/>
          <w:sz w:val="32"/>
          <w:szCs w:val="32"/>
        </w:rPr>
      </w:pPr>
      <w:r>
        <w:rPr>
          <w:rFonts w:asciiTheme="minorEastAsia" w:hAnsiTheme="minorEastAsia" w:cs="宋体" w:hint="eastAsia"/>
          <w:kern w:val="0"/>
          <w:sz w:val="32"/>
          <w:szCs w:val="32"/>
        </w:rPr>
        <w:t>主要原因：一是教师企业实践经验少；二是教师培养培训的途径和方法有待完善，培训的针对性不强。</w:t>
      </w:r>
    </w:p>
    <w:p w:rsidR="009A0AC3" w:rsidRDefault="004F2BBB">
      <w:pPr>
        <w:widowControl/>
        <w:adjustRightInd w:val="0"/>
        <w:snapToGrid w:val="0"/>
        <w:spacing w:line="560" w:lineRule="exact"/>
        <w:ind w:firstLineChars="200" w:firstLine="640"/>
        <w:rPr>
          <w:rFonts w:asciiTheme="minorEastAsia" w:hAnsiTheme="minorEastAsia" w:cs="宋体"/>
          <w:kern w:val="0"/>
          <w:sz w:val="32"/>
          <w:szCs w:val="32"/>
        </w:rPr>
      </w:pPr>
      <w:r>
        <w:rPr>
          <w:rFonts w:asciiTheme="minorEastAsia" w:hAnsiTheme="minorEastAsia" w:cs="宋体" w:hint="eastAsia"/>
          <w:kern w:val="0"/>
          <w:sz w:val="32"/>
          <w:szCs w:val="32"/>
        </w:rPr>
        <w:t>改进措施：一是积极为教师提供和创造外出学习培训的机会，更新知识、技能和教育观念；二是通过企业挂职锻炼或到对口院校深造，提高专业教师能力。</w:t>
      </w:r>
    </w:p>
    <w:p w:rsidR="009A0AC3" w:rsidRDefault="006C73E2">
      <w:pPr>
        <w:widowControl/>
        <w:adjustRightInd w:val="0"/>
        <w:snapToGrid w:val="0"/>
        <w:spacing w:line="560" w:lineRule="exact"/>
        <w:ind w:firstLineChars="200" w:firstLine="640"/>
        <w:rPr>
          <w:rFonts w:asciiTheme="minorEastAsia" w:hAnsiTheme="minorEastAsia" w:cs="宋体"/>
          <w:kern w:val="0"/>
          <w:sz w:val="32"/>
          <w:szCs w:val="32"/>
        </w:rPr>
      </w:pPr>
      <w:r>
        <w:rPr>
          <w:rFonts w:asciiTheme="minorEastAsia" w:hAnsiTheme="minorEastAsia" w:cs="宋体" w:hint="eastAsia"/>
          <w:kern w:val="0"/>
          <w:sz w:val="32"/>
          <w:szCs w:val="32"/>
        </w:rPr>
        <w:t>4</w:t>
      </w:r>
      <w:r>
        <w:rPr>
          <w:rFonts w:asciiTheme="minorEastAsia" w:hAnsiTheme="minorEastAsia" w:cs="宋体"/>
          <w:kern w:val="0"/>
          <w:sz w:val="32"/>
          <w:szCs w:val="32"/>
        </w:rPr>
        <w:t>.</w:t>
      </w:r>
      <w:bookmarkStart w:id="66" w:name="_GoBack"/>
      <w:bookmarkEnd w:id="66"/>
      <w:r w:rsidR="004F2BBB">
        <w:rPr>
          <w:rFonts w:asciiTheme="minorEastAsia" w:hAnsiTheme="minorEastAsia" w:cs="宋体" w:hint="eastAsia"/>
          <w:kern w:val="0"/>
          <w:sz w:val="32"/>
          <w:szCs w:val="32"/>
        </w:rPr>
        <w:t>学校信息化管理水平还不够完善，校本诊改数据平台还没有建立。</w:t>
      </w:r>
    </w:p>
    <w:p w:rsidR="009A0AC3" w:rsidRDefault="004F2BBB">
      <w:pPr>
        <w:widowControl/>
        <w:adjustRightInd w:val="0"/>
        <w:snapToGrid w:val="0"/>
        <w:spacing w:line="560" w:lineRule="exact"/>
        <w:ind w:firstLineChars="200" w:firstLine="640"/>
        <w:rPr>
          <w:rFonts w:asciiTheme="minorEastAsia" w:hAnsiTheme="minorEastAsia" w:cs="宋体"/>
          <w:kern w:val="0"/>
          <w:sz w:val="32"/>
          <w:szCs w:val="32"/>
        </w:rPr>
      </w:pPr>
      <w:r>
        <w:rPr>
          <w:rFonts w:asciiTheme="minorEastAsia" w:hAnsiTheme="minorEastAsia" w:cs="宋体" w:hint="eastAsia"/>
          <w:kern w:val="0"/>
          <w:sz w:val="32"/>
          <w:szCs w:val="32"/>
        </w:rPr>
        <w:t>主要原因：学校信息化管理平台及诊改数据平台必须立足于本校，不能照搬照抄其他院校的模式，才能使信息化数据采集实时有效，及时反馈问题并得以真正解</w:t>
      </w:r>
    </w:p>
    <w:p w:rsidR="009A0AC3" w:rsidRDefault="004F2BBB">
      <w:pPr>
        <w:widowControl/>
        <w:adjustRightInd w:val="0"/>
        <w:snapToGrid w:val="0"/>
        <w:spacing w:line="560" w:lineRule="exact"/>
        <w:ind w:firstLineChars="200" w:firstLine="640"/>
        <w:rPr>
          <w:rFonts w:asciiTheme="minorEastAsia" w:hAnsiTheme="minorEastAsia"/>
          <w:b/>
          <w:sz w:val="32"/>
          <w:szCs w:val="32"/>
        </w:rPr>
      </w:pPr>
      <w:r>
        <w:rPr>
          <w:rFonts w:asciiTheme="minorEastAsia" w:hAnsiTheme="minorEastAsia" w:cs="宋体" w:hint="eastAsia"/>
          <w:kern w:val="0"/>
          <w:sz w:val="32"/>
          <w:szCs w:val="32"/>
        </w:rPr>
        <w:t>改进措施：尽快完善学校信息化管理平台并建立诊改数据平台，从有限的学校经费中挤出一部分用于平台的开发。建议上级部门加大经费投入，用于加强业务指导及学校信息化管理平台、诊改数据平台建设。</w:t>
      </w:r>
    </w:p>
    <w:sectPr w:rsidR="009A0AC3" w:rsidSect="00F85063">
      <w:headerReference w:type="default" r:id="rId19"/>
      <w:footerReference w:type="default" r:id="rId20"/>
      <w:pgSz w:w="11906" w:h="16838"/>
      <w:pgMar w:top="1588" w:right="1588" w:bottom="1588" w:left="1588" w:header="454"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AC0" w:rsidRDefault="00B37AC0">
      <w:r>
        <w:separator/>
      </w:r>
    </w:p>
  </w:endnote>
  <w:endnote w:type="continuationSeparator" w:id="1">
    <w:p w:rsidR="00B37AC0" w:rsidRDefault="00B37A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
    <w:altName w:val="Times New Roman"/>
    <w:charset w:val="00"/>
    <w:family w:val="auto"/>
    <w:pitch w:val="default"/>
    <w:sig w:usb0="00000000" w:usb1="00000000" w:usb2="00000000" w:usb3="00000000" w:csb0="00000001" w:csb1="00000000"/>
  </w:font>
  <w:font w:name="方正小标宋简体">
    <w:altName w:val="微软雅黑"/>
    <w:panose1 w:val="03000509000000000000"/>
    <w:charset w:val="86"/>
    <w:family w:val="auto"/>
    <w:pitch w:val="default"/>
    <w:sig w:usb0="00000000" w:usb1="00000000" w:usb2="00000010" w:usb3="00000000" w:csb0="00040000" w:csb1="00000000"/>
  </w:font>
  <w:font w:name="eʩ">
    <w:altName w:val="Times New Roman"/>
    <w:charset w:val="00"/>
    <w:family w:val="roman"/>
    <w:pitch w:val="default"/>
    <w:sig w:usb0="00000000" w:usb1="00000000" w:usb2="00000000" w:usb3="00000000" w:csb0="00000000"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880277"/>
    </w:sdtPr>
    <w:sdtContent>
      <w:p w:rsidR="009A0AC3" w:rsidRDefault="00AB1E58">
        <w:pPr>
          <w:pStyle w:val="a8"/>
          <w:jc w:val="center"/>
        </w:pPr>
        <w:r>
          <w:fldChar w:fldCharType="begin"/>
        </w:r>
        <w:r w:rsidR="004F2BBB">
          <w:instrText>PAGE   \* MERGEFORMAT</w:instrText>
        </w:r>
        <w:r>
          <w:fldChar w:fldCharType="separate"/>
        </w:r>
        <w:r w:rsidR="00A01C8D" w:rsidRPr="00A01C8D">
          <w:rPr>
            <w:noProof/>
            <w:lang w:val="zh-CN"/>
          </w:rPr>
          <w:t>2</w:t>
        </w:r>
        <w:r>
          <w:fldChar w:fldCharType="end"/>
        </w:r>
      </w:p>
    </w:sdtContent>
  </w:sdt>
  <w:p w:rsidR="009A0AC3" w:rsidRDefault="009A0AC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AC0" w:rsidRDefault="00B37AC0">
      <w:r>
        <w:separator/>
      </w:r>
    </w:p>
  </w:footnote>
  <w:footnote w:type="continuationSeparator" w:id="1">
    <w:p w:rsidR="00B37AC0" w:rsidRDefault="00B37A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063" w:rsidRDefault="00F85063" w:rsidP="00F85063">
    <w:pPr>
      <w:pStyle w:val="a9"/>
      <w:jc w:val="left"/>
    </w:pPr>
    <w:r>
      <w:rPr>
        <w:noProof/>
      </w:rPr>
      <w:drawing>
        <wp:inline distT="0" distB="0" distL="0" distR="0">
          <wp:extent cx="3766161" cy="659407"/>
          <wp:effectExtent l="0" t="0" r="635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最新学校图标（含校名）.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2182" cy="663963"/>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1" w:cryptProviderType="rsaFull" w:cryptAlgorithmClass="hash" w:cryptAlgorithmType="typeAny" w:cryptAlgorithmSid="4" w:cryptSpinCount="50000" w:hash="I8l3QKAB8u2TbLmhT5um9MtRzJA=" w:salt="+NXcv+bGWcampn4dLjwN1Q=="/>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A0AC3"/>
    <w:rsid w:val="0002029B"/>
    <w:rsid w:val="000731E0"/>
    <w:rsid w:val="000A6425"/>
    <w:rsid w:val="001761FF"/>
    <w:rsid w:val="002B3AB0"/>
    <w:rsid w:val="002F4F6D"/>
    <w:rsid w:val="003B79DC"/>
    <w:rsid w:val="00463060"/>
    <w:rsid w:val="004F2BBB"/>
    <w:rsid w:val="005D512A"/>
    <w:rsid w:val="006C73E2"/>
    <w:rsid w:val="006F1A55"/>
    <w:rsid w:val="008A3CE8"/>
    <w:rsid w:val="0094529C"/>
    <w:rsid w:val="00991A00"/>
    <w:rsid w:val="009A0AC3"/>
    <w:rsid w:val="00A01C8D"/>
    <w:rsid w:val="00AB1E58"/>
    <w:rsid w:val="00AB79E3"/>
    <w:rsid w:val="00B37AC0"/>
    <w:rsid w:val="00B62591"/>
    <w:rsid w:val="00C12917"/>
    <w:rsid w:val="00C37881"/>
    <w:rsid w:val="00CC2EF3"/>
    <w:rsid w:val="00D224BC"/>
    <w:rsid w:val="00E440C6"/>
    <w:rsid w:val="00F85063"/>
    <w:rsid w:val="00FF18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Dat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E5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AB1E5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B1E5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B1E5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AB1E58"/>
    <w:rPr>
      <w:rFonts w:asciiTheme="majorHAnsi" w:eastAsia="黑体" w:hAnsiTheme="majorHAnsi" w:cstheme="majorBidi"/>
      <w:sz w:val="20"/>
      <w:szCs w:val="20"/>
    </w:rPr>
  </w:style>
  <w:style w:type="paragraph" w:styleId="a4">
    <w:name w:val="annotation text"/>
    <w:basedOn w:val="a"/>
    <w:link w:val="Char"/>
    <w:uiPriority w:val="99"/>
    <w:unhideWhenUsed/>
    <w:qFormat/>
    <w:rsid w:val="00AB1E58"/>
    <w:pPr>
      <w:jc w:val="left"/>
    </w:pPr>
  </w:style>
  <w:style w:type="paragraph" w:styleId="a5">
    <w:name w:val="Body Text Indent"/>
    <w:basedOn w:val="a"/>
    <w:link w:val="Char0"/>
    <w:qFormat/>
    <w:rsid w:val="00AB1E58"/>
    <w:pPr>
      <w:ind w:leftChars="114" w:left="239"/>
    </w:pPr>
    <w:rPr>
      <w:rFonts w:ascii="宋体" w:eastAsia="宋体" w:hAnsi="宋体" w:cs="Times New Roman"/>
      <w:sz w:val="28"/>
      <w:szCs w:val="24"/>
    </w:rPr>
  </w:style>
  <w:style w:type="paragraph" w:styleId="30">
    <w:name w:val="toc 3"/>
    <w:basedOn w:val="a"/>
    <w:next w:val="a"/>
    <w:uiPriority w:val="39"/>
    <w:unhideWhenUsed/>
    <w:qFormat/>
    <w:rsid w:val="00AB1E58"/>
    <w:pPr>
      <w:widowControl/>
      <w:tabs>
        <w:tab w:val="right" w:leader="dot" w:pos="8296"/>
      </w:tabs>
      <w:spacing w:after="100" w:line="276" w:lineRule="auto"/>
      <w:ind w:left="440"/>
      <w:jc w:val="left"/>
    </w:pPr>
    <w:rPr>
      <w:rFonts w:ascii="黑体" w:eastAsia="黑体" w:hAnsi="黑体" w:cs="宋体"/>
      <w:kern w:val="0"/>
      <w:sz w:val="22"/>
    </w:rPr>
  </w:style>
  <w:style w:type="paragraph" w:styleId="a6">
    <w:name w:val="Date"/>
    <w:basedOn w:val="a"/>
    <w:next w:val="a"/>
    <w:link w:val="Char1"/>
    <w:qFormat/>
    <w:rsid w:val="00AB1E58"/>
    <w:pPr>
      <w:ind w:leftChars="2500" w:left="100"/>
    </w:pPr>
    <w:rPr>
      <w:rFonts w:ascii="Times New Roman" w:eastAsia="宋体" w:hAnsi="Times New Roman" w:cs="Times New Roman"/>
      <w:szCs w:val="24"/>
    </w:rPr>
  </w:style>
  <w:style w:type="paragraph" w:styleId="a7">
    <w:name w:val="Balloon Text"/>
    <w:basedOn w:val="a"/>
    <w:link w:val="Char2"/>
    <w:uiPriority w:val="99"/>
    <w:unhideWhenUsed/>
    <w:qFormat/>
    <w:rsid w:val="00AB1E58"/>
    <w:rPr>
      <w:sz w:val="18"/>
      <w:szCs w:val="18"/>
    </w:rPr>
  </w:style>
  <w:style w:type="paragraph" w:styleId="a8">
    <w:name w:val="footer"/>
    <w:basedOn w:val="a"/>
    <w:link w:val="Char3"/>
    <w:uiPriority w:val="99"/>
    <w:unhideWhenUsed/>
    <w:qFormat/>
    <w:rsid w:val="00AB1E58"/>
    <w:pPr>
      <w:tabs>
        <w:tab w:val="center" w:pos="4153"/>
        <w:tab w:val="right" w:pos="8306"/>
      </w:tabs>
      <w:snapToGrid w:val="0"/>
      <w:jc w:val="left"/>
    </w:pPr>
    <w:rPr>
      <w:sz w:val="18"/>
      <w:szCs w:val="18"/>
    </w:rPr>
  </w:style>
  <w:style w:type="paragraph" w:styleId="a9">
    <w:name w:val="header"/>
    <w:basedOn w:val="a"/>
    <w:link w:val="Char4"/>
    <w:uiPriority w:val="99"/>
    <w:unhideWhenUsed/>
    <w:qFormat/>
    <w:rsid w:val="00AB1E5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AB1E58"/>
    <w:pPr>
      <w:widowControl/>
      <w:tabs>
        <w:tab w:val="right" w:leader="dot" w:pos="8647"/>
      </w:tabs>
      <w:spacing w:line="580" w:lineRule="exact"/>
      <w:jc w:val="left"/>
    </w:pPr>
    <w:rPr>
      <w:kern w:val="0"/>
      <w:sz w:val="22"/>
    </w:rPr>
  </w:style>
  <w:style w:type="paragraph" w:styleId="20">
    <w:name w:val="toc 2"/>
    <w:basedOn w:val="a"/>
    <w:next w:val="a"/>
    <w:uiPriority w:val="39"/>
    <w:unhideWhenUsed/>
    <w:qFormat/>
    <w:rsid w:val="00AB1E58"/>
    <w:pPr>
      <w:widowControl/>
      <w:tabs>
        <w:tab w:val="right" w:leader="dot" w:pos="8647"/>
      </w:tabs>
      <w:spacing w:line="580" w:lineRule="exact"/>
      <w:ind w:left="425"/>
      <w:jc w:val="left"/>
    </w:pPr>
    <w:rPr>
      <w:kern w:val="0"/>
      <w:sz w:val="22"/>
    </w:rPr>
  </w:style>
  <w:style w:type="paragraph" w:styleId="aa">
    <w:name w:val="Normal (Web)"/>
    <w:basedOn w:val="a"/>
    <w:unhideWhenUsed/>
    <w:qFormat/>
    <w:rsid w:val="00AB1E58"/>
    <w:pPr>
      <w:widowControl/>
      <w:spacing w:before="100" w:beforeAutospacing="1" w:after="100" w:afterAutospacing="1"/>
      <w:jc w:val="left"/>
    </w:pPr>
    <w:rPr>
      <w:rFonts w:ascii="宋体" w:eastAsia="宋体" w:hAnsi="宋体" w:cs="Times New Roman"/>
      <w:kern w:val="0"/>
      <w:sz w:val="24"/>
      <w:szCs w:val="24"/>
    </w:rPr>
  </w:style>
  <w:style w:type="character" w:styleId="ab">
    <w:name w:val="Hyperlink"/>
    <w:basedOn w:val="a0"/>
    <w:uiPriority w:val="99"/>
    <w:unhideWhenUsed/>
    <w:qFormat/>
    <w:rsid w:val="00AB1E58"/>
    <w:rPr>
      <w:color w:val="0000FF" w:themeColor="hyperlink"/>
      <w:u w:val="single"/>
    </w:rPr>
  </w:style>
  <w:style w:type="character" w:styleId="ac">
    <w:name w:val="annotation reference"/>
    <w:basedOn w:val="a0"/>
    <w:uiPriority w:val="99"/>
    <w:unhideWhenUsed/>
    <w:qFormat/>
    <w:rsid w:val="00AB1E58"/>
    <w:rPr>
      <w:sz w:val="21"/>
      <w:szCs w:val="21"/>
    </w:rPr>
  </w:style>
  <w:style w:type="table" w:styleId="ad">
    <w:name w:val="Table Grid"/>
    <w:basedOn w:val="a1"/>
    <w:uiPriority w:val="59"/>
    <w:qFormat/>
    <w:rsid w:val="00AB1E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basedOn w:val="a0"/>
    <w:link w:val="a7"/>
    <w:uiPriority w:val="99"/>
    <w:semiHidden/>
    <w:qFormat/>
    <w:rsid w:val="00AB1E58"/>
    <w:rPr>
      <w:sz w:val="18"/>
      <w:szCs w:val="18"/>
    </w:rPr>
  </w:style>
  <w:style w:type="character" w:customStyle="1" w:styleId="1Char">
    <w:name w:val="标题 1 Char"/>
    <w:basedOn w:val="a0"/>
    <w:link w:val="1"/>
    <w:uiPriority w:val="9"/>
    <w:qFormat/>
    <w:rsid w:val="00AB1E58"/>
    <w:rPr>
      <w:b/>
      <w:bCs/>
      <w:kern w:val="44"/>
      <w:sz w:val="44"/>
      <w:szCs w:val="44"/>
    </w:rPr>
  </w:style>
  <w:style w:type="character" w:customStyle="1" w:styleId="2Char">
    <w:name w:val="标题 2 Char"/>
    <w:basedOn w:val="a0"/>
    <w:link w:val="2"/>
    <w:uiPriority w:val="9"/>
    <w:qFormat/>
    <w:rsid w:val="00AB1E58"/>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B1E58"/>
    <w:rPr>
      <w:b/>
      <w:bCs/>
      <w:sz w:val="32"/>
      <w:szCs w:val="32"/>
    </w:rPr>
  </w:style>
  <w:style w:type="character" w:customStyle="1" w:styleId="Char1">
    <w:name w:val="日期 Char"/>
    <w:basedOn w:val="a0"/>
    <w:link w:val="a6"/>
    <w:qFormat/>
    <w:rsid w:val="00AB1E58"/>
    <w:rPr>
      <w:rFonts w:ascii="Times New Roman" w:eastAsia="宋体" w:hAnsi="Times New Roman" w:cs="Times New Roman"/>
      <w:szCs w:val="24"/>
    </w:rPr>
  </w:style>
  <w:style w:type="paragraph" w:customStyle="1" w:styleId="11">
    <w:name w:val="列出段落1"/>
    <w:basedOn w:val="a"/>
    <w:qFormat/>
    <w:rsid w:val="00AB1E58"/>
    <w:pPr>
      <w:ind w:firstLineChars="200" w:firstLine="420"/>
    </w:pPr>
    <w:rPr>
      <w:rFonts w:ascii="Calibri" w:eastAsia="宋体" w:hAnsi="Calibri" w:cs="Times New Roman"/>
    </w:rPr>
  </w:style>
  <w:style w:type="character" w:customStyle="1" w:styleId="Char0">
    <w:name w:val="正文文本缩进 Char"/>
    <w:basedOn w:val="a0"/>
    <w:link w:val="a5"/>
    <w:qFormat/>
    <w:rsid w:val="00AB1E58"/>
    <w:rPr>
      <w:rFonts w:ascii="宋体" w:eastAsia="宋体" w:hAnsi="宋体" w:cs="Times New Roman"/>
      <w:sz w:val="28"/>
      <w:szCs w:val="24"/>
    </w:rPr>
  </w:style>
  <w:style w:type="character" w:customStyle="1" w:styleId="Char4">
    <w:name w:val="页眉 Char"/>
    <w:basedOn w:val="a0"/>
    <w:link w:val="a9"/>
    <w:uiPriority w:val="99"/>
    <w:qFormat/>
    <w:rsid w:val="00AB1E58"/>
    <w:rPr>
      <w:sz w:val="18"/>
      <w:szCs w:val="18"/>
    </w:rPr>
  </w:style>
  <w:style w:type="character" w:customStyle="1" w:styleId="Char3">
    <w:name w:val="页脚 Char"/>
    <w:basedOn w:val="a0"/>
    <w:link w:val="a8"/>
    <w:uiPriority w:val="99"/>
    <w:qFormat/>
    <w:rsid w:val="00AB1E58"/>
    <w:rPr>
      <w:sz w:val="18"/>
      <w:szCs w:val="18"/>
    </w:rPr>
  </w:style>
  <w:style w:type="character" w:customStyle="1" w:styleId="Char">
    <w:name w:val="批注文字 Char"/>
    <w:basedOn w:val="a0"/>
    <w:link w:val="a4"/>
    <w:uiPriority w:val="99"/>
    <w:semiHidden/>
    <w:qFormat/>
    <w:rsid w:val="00AB1E58"/>
  </w:style>
  <w:style w:type="paragraph" w:customStyle="1" w:styleId="12">
    <w:name w:val="批注文字1"/>
    <w:basedOn w:val="a"/>
    <w:next w:val="a4"/>
    <w:uiPriority w:val="99"/>
    <w:unhideWhenUsed/>
    <w:qFormat/>
    <w:rsid w:val="00AB1E58"/>
    <w:pPr>
      <w:jc w:val="left"/>
    </w:pPr>
  </w:style>
  <w:style w:type="character" w:customStyle="1" w:styleId="Char10">
    <w:name w:val="批注文字 Char1"/>
    <w:basedOn w:val="a0"/>
    <w:uiPriority w:val="99"/>
    <w:semiHidden/>
    <w:qFormat/>
    <w:rsid w:val="00AB1E58"/>
  </w:style>
  <w:style w:type="paragraph" w:customStyle="1" w:styleId="TOC1">
    <w:name w:val="TOC 标题1"/>
    <w:basedOn w:val="1"/>
    <w:next w:val="a"/>
    <w:uiPriority w:val="39"/>
    <w:unhideWhenUsed/>
    <w:qFormat/>
    <w:rsid w:val="00AB1E5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e">
    <w:name w:val="表格题注"/>
    <w:basedOn w:val="a3"/>
    <w:link w:val="Char5"/>
    <w:uiPriority w:val="99"/>
    <w:qFormat/>
    <w:rsid w:val="00AB1E58"/>
    <w:pPr>
      <w:keepNext/>
      <w:jc w:val="center"/>
    </w:pPr>
    <w:rPr>
      <w:rFonts w:ascii="Cambria" w:hAnsi="Cambria" w:cs="Times New Roman"/>
      <w:lang w:val="zh-CN"/>
    </w:rPr>
  </w:style>
  <w:style w:type="character" w:customStyle="1" w:styleId="Char5">
    <w:name w:val="表格题注 Char"/>
    <w:link w:val="ae"/>
    <w:uiPriority w:val="99"/>
    <w:qFormat/>
    <w:locked/>
    <w:rsid w:val="00AB1E58"/>
    <w:rPr>
      <w:rFonts w:ascii="Cambria" w:eastAsia="黑体" w:hAnsi="Cambria" w:cs="Times New Roman"/>
      <w:sz w:val="20"/>
      <w:szCs w:val="20"/>
      <w:lang w:val="zh-CN"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QuickStyle" Target="diagrams/quickStyle1.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openxmlformats.org/officeDocument/2006/relationships/image" Target="media/image2.jpeg"/><Relationship Id="rId23" Type="http://schemas.microsoft.com/office/2007/relationships/diagramDrawing" Target="diagrams/drawing1.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2016年</c:v>
                </c:pt>
              </c:strCache>
            </c:strRef>
          </c:tx>
          <c:cat>
            <c:strRef>
              <c:f>Sheet1!$A$2:$A$3</c:f>
              <c:strCache>
                <c:ptCount val="2"/>
                <c:pt idx="0">
                  <c:v>计划招生（人）</c:v>
                </c:pt>
                <c:pt idx="1">
                  <c:v>实际招生（人）</c:v>
                </c:pt>
              </c:strCache>
            </c:strRef>
          </c:cat>
          <c:val>
            <c:numRef>
              <c:f>Sheet1!$B$2:$B$3</c:f>
              <c:numCache>
                <c:formatCode>General</c:formatCode>
                <c:ptCount val="2"/>
                <c:pt idx="0">
                  <c:v>1100</c:v>
                </c:pt>
                <c:pt idx="1">
                  <c:v>1257</c:v>
                </c:pt>
              </c:numCache>
            </c:numRef>
          </c:val>
        </c:ser>
        <c:ser>
          <c:idx val="1"/>
          <c:order val="1"/>
          <c:tx>
            <c:strRef>
              <c:f>Sheet1!$C$1</c:f>
              <c:strCache>
                <c:ptCount val="1"/>
                <c:pt idx="0">
                  <c:v>2017年</c:v>
                </c:pt>
              </c:strCache>
            </c:strRef>
          </c:tx>
          <c:cat>
            <c:strRef>
              <c:f>Sheet1!$A$2:$A$3</c:f>
              <c:strCache>
                <c:ptCount val="2"/>
                <c:pt idx="0">
                  <c:v>计划招生（人）</c:v>
                </c:pt>
                <c:pt idx="1">
                  <c:v>实际招生（人）</c:v>
                </c:pt>
              </c:strCache>
            </c:strRef>
          </c:cat>
          <c:val>
            <c:numRef>
              <c:f>Sheet1!$C$2:$C$3</c:f>
              <c:numCache>
                <c:formatCode>General</c:formatCode>
                <c:ptCount val="2"/>
                <c:pt idx="0">
                  <c:v>1200</c:v>
                </c:pt>
                <c:pt idx="1">
                  <c:v>1411</c:v>
                </c:pt>
              </c:numCache>
            </c:numRef>
          </c:val>
        </c:ser>
        <c:axId val="175558016"/>
        <c:axId val="175559808"/>
      </c:barChart>
      <c:catAx>
        <c:axId val="175558016"/>
        <c:scaling>
          <c:orientation val="minMax"/>
        </c:scaling>
        <c:axPos val="b"/>
        <c:numFmt formatCode="General" sourceLinked="0"/>
        <c:tickLblPos val="nextTo"/>
        <c:txPr>
          <a:bodyPr rot="-60000000" spcFirstLastPara="0" vertOverflow="ellipsis" vert="horz" wrap="square" anchor="ctr" anchorCtr="1"/>
          <a:lstStyle/>
          <a:p>
            <a:pPr>
              <a:defRPr lang="x-none" sz="1000" kern="1200">
                <a:solidFill>
                  <a:schemeClr val="tx1"/>
                </a:solidFill>
                <a:latin typeface="+mn-lt"/>
                <a:ea typeface="+mn-ea"/>
                <a:cs typeface="+mn-cs"/>
              </a:defRPr>
            </a:pPr>
            <a:endParaRPr lang="zh-CN"/>
          </a:p>
        </c:txPr>
        <c:crossAx val="175559808"/>
        <c:crosses val="autoZero"/>
        <c:auto val="1"/>
        <c:lblAlgn val="ctr"/>
        <c:lblOffset val="100"/>
      </c:catAx>
      <c:valAx>
        <c:axId val="175559808"/>
        <c:scaling>
          <c:orientation val="minMax"/>
        </c:scaling>
        <c:axPos val="l"/>
        <c:majorGridlines/>
        <c:numFmt formatCode="General" sourceLinked="1"/>
        <c:tickLblPos val="nextTo"/>
        <c:txPr>
          <a:bodyPr rot="-60000000" spcFirstLastPara="0" vertOverflow="ellipsis" vert="horz" wrap="square" anchor="ctr" anchorCtr="1"/>
          <a:lstStyle/>
          <a:p>
            <a:pPr>
              <a:defRPr lang="x-none" sz="1000" kern="1200">
                <a:solidFill>
                  <a:schemeClr val="tx1"/>
                </a:solidFill>
                <a:latin typeface="+mn-lt"/>
                <a:ea typeface="+mn-ea"/>
                <a:cs typeface="+mn-cs"/>
              </a:defRPr>
            </a:pPr>
            <a:endParaRPr lang="zh-CN"/>
          </a:p>
        </c:txPr>
        <c:crossAx val="175558016"/>
        <c:crosses val="autoZero"/>
        <c:crossBetween val="between"/>
      </c:valAx>
    </c:plotArea>
    <c:legend>
      <c:legendPos val="r"/>
      <c:txPr>
        <a:bodyPr rot="0" spcFirstLastPara="0" vertOverflow="ellipsis" vert="horz" wrap="square" anchor="ctr" anchorCtr="1"/>
        <a:lstStyle/>
        <a:p>
          <a:pPr>
            <a:defRPr lang="x-none" sz="1000" kern="1200">
              <a:solidFill>
                <a:schemeClr val="tx1"/>
              </a:solidFill>
              <a:latin typeface="+mn-lt"/>
              <a:ea typeface="+mn-ea"/>
              <a:cs typeface="+mn-cs"/>
            </a:defRPr>
          </a:pPr>
          <a:endParaRPr lang="zh-CN"/>
        </a:p>
      </c:txPr>
    </c:legend>
    <c:plotVisOnly val="1"/>
    <c:dispBlanksAs val="gap"/>
  </c:chart>
  <c:txPr>
    <a:bodyPr/>
    <a:lstStyle/>
    <a:p>
      <a:pPr>
        <a:defRPr lang="x-none"/>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2016年</c:v>
                </c:pt>
              </c:strCache>
            </c:strRef>
          </c:tx>
          <c:cat>
            <c:strRef>
              <c:f>Sheet1!$A$2:$A$8</c:f>
              <c:strCache>
                <c:ptCount val="7"/>
                <c:pt idx="0">
                  <c:v>钦南区</c:v>
                </c:pt>
                <c:pt idx="1">
                  <c:v>钦北区</c:v>
                </c:pt>
                <c:pt idx="2">
                  <c:v>灵山县</c:v>
                </c:pt>
                <c:pt idx="3">
                  <c:v>浦北县</c:v>
                </c:pt>
                <c:pt idx="4">
                  <c:v>防城港市</c:v>
                </c:pt>
                <c:pt idx="5">
                  <c:v>合浦县</c:v>
                </c:pt>
                <c:pt idx="6">
                  <c:v>其他区县</c:v>
                </c:pt>
              </c:strCache>
            </c:strRef>
          </c:cat>
          <c:val>
            <c:numRef>
              <c:f>Sheet1!$B$2:$B$8</c:f>
              <c:numCache>
                <c:formatCode>General</c:formatCode>
                <c:ptCount val="7"/>
                <c:pt idx="0">
                  <c:v>492</c:v>
                </c:pt>
                <c:pt idx="1">
                  <c:v>362</c:v>
                </c:pt>
                <c:pt idx="2">
                  <c:v>219</c:v>
                </c:pt>
                <c:pt idx="3">
                  <c:v>76</c:v>
                </c:pt>
                <c:pt idx="4">
                  <c:v>26</c:v>
                </c:pt>
                <c:pt idx="5">
                  <c:v>29</c:v>
                </c:pt>
                <c:pt idx="6">
                  <c:v>53</c:v>
                </c:pt>
              </c:numCache>
            </c:numRef>
          </c:val>
        </c:ser>
        <c:ser>
          <c:idx val="1"/>
          <c:order val="1"/>
          <c:tx>
            <c:strRef>
              <c:f>Sheet1!$C$1</c:f>
              <c:strCache>
                <c:ptCount val="1"/>
                <c:pt idx="0">
                  <c:v>2017年</c:v>
                </c:pt>
              </c:strCache>
            </c:strRef>
          </c:tx>
          <c:cat>
            <c:strRef>
              <c:f>Sheet1!$A$2:$A$8</c:f>
              <c:strCache>
                <c:ptCount val="7"/>
                <c:pt idx="0">
                  <c:v>钦南区</c:v>
                </c:pt>
                <c:pt idx="1">
                  <c:v>钦北区</c:v>
                </c:pt>
                <c:pt idx="2">
                  <c:v>灵山县</c:v>
                </c:pt>
                <c:pt idx="3">
                  <c:v>浦北县</c:v>
                </c:pt>
                <c:pt idx="4">
                  <c:v>防城港市</c:v>
                </c:pt>
                <c:pt idx="5">
                  <c:v>合浦县</c:v>
                </c:pt>
                <c:pt idx="6">
                  <c:v>其他区县</c:v>
                </c:pt>
              </c:strCache>
            </c:strRef>
          </c:cat>
          <c:val>
            <c:numRef>
              <c:f>Sheet1!$C$2:$C$8</c:f>
              <c:numCache>
                <c:formatCode>General</c:formatCode>
                <c:ptCount val="7"/>
                <c:pt idx="0">
                  <c:v>530</c:v>
                </c:pt>
                <c:pt idx="1">
                  <c:v>384</c:v>
                </c:pt>
                <c:pt idx="2">
                  <c:v>309</c:v>
                </c:pt>
                <c:pt idx="3">
                  <c:v>79</c:v>
                </c:pt>
                <c:pt idx="4">
                  <c:v>55</c:v>
                </c:pt>
                <c:pt idx="5">
                  <c:v>24</c:v>
                </c:pt>
                <c:pt idx="6">
                  <c:v>30</c:v>
                </c:pt>
              </c:numCache>
            </c:numRef>
          </c:val>
        </c:ser>
        <c:axId val="122083200"/>
        <c:axId val="122084736"/>
      </c:barChart>
      <c:catAx>
        <c:axId val="122083200"/>
        <c:scaling>
          <c:orientation val="minMax"/>
        </c:scaling>
        <c:axPos val="b"/>
        <c:numFmt formatCode="General" sourceLinked="0"/>
        <c:tickLblPos val="nextTo"/>
        <c:txPr>
          <a:bodyPr rot="-60000000" spcFirstLastPara="0" vertOverflow="ellipsis" vert="horz" wrap="square" anchor="ctr" anchorCtr="1"/>
          <a:lstStyle/>
          <a:p>
            <a:pPr>
              <a:defRPr lang="x-none" sz="1000" kern="1200">
                <a:solidFill>
                  <a:schemeClr val="tx1"/>
                </a:solidFill>
                <a:latin typeface="+mn-lt"/>
                <a:ea typeface="+mn-ea"/>
                <a:cs typeface="+mn-cs"/>
              </a:defRPr>
            </a:pPr>
            <a:endParaRPr lang="zh-CN"/>
          </a:p>
        </c:txPr>
        <c:crossAx val="122084736"/>
        <c:crosses val="autoZero"/>
        <c:auto val="1"/>
        <c:lblAlgn val="ctr"/>
        <c:lblOffset val="100"/>
      </c:catAx>
      <c:valAx>
        <c:axId val="122084736"/>
        <c:scaling>
          <c:orientation val="minMax"/>
        </c:scaling>
        <c:axPos val="l"/>
        <c:majorGridlines/>
        <c:numFmt formatCode="General" sourceLinked="1"/>
        <c:tickLblPos val="nextTo"/>
        <c:txPr>
          <a:bodyPr rot="-60000000" spcFirstLastPara="0" vertOverflow="ellipsis" vert="horz" wrap="square" anchor="ctr" anchorCtr="1"/>
          <a:lstStyle/>
          <a:p>
            <a:pPr>
              <a:defRPr lang="x-none" sz="1000" kern="1200">
                <a:solidFill>
                  <a:schemeClr val="tx1"/>
                </a:solidFill>
                <a:latin typeface="+mn-lt"/>
                <a:ea typeface="+mn-ea"/>
                <a:cs typeface="+mn-cs"/>
              </a:defRPr>
            </a:pPr>
            <a:endParaRPr lang="zh-CN"/>
          </a:p>
        </c:txPr>
        <c:crossAx val="122083200"/>
        <c:crosses val="autoZero"/>
        <c:crossBetween val="between"/>
      </c:valAx>
    </c:plotArea>
    <c:legend>
      <c:legendPos val="r"/>
      <c:txPr>
        <a:bodyPr rot="0" spcFirstLastPara="0" vertOverflow="ellipsis" vert="horz" wrap="square" anchor="ctr" anchorCtr="1"/>
        <a:lstStyle/>
        <a:p>
          <a:pPr>
            <a:defRPr lang="x-none" sz="1000" kern="1200">
              <a:solidFill>
                <a:schemeClr val="tx1"/>
              </a:solidFill>
              <a:latin typeface="+mn-lt"/>
              <a:ea typeface="+mn-ea"/>
              <a:cs typeface="+mn-cs"/>
            </a:defRPr>
          </a:pPr>
          <a:endParaRPr lang="zh-CN"/>
        </a:p>
      </c:txPr>
    </c:legend>
    <c:plotVisOnly val="1"/>
    <c:dispBlanksAs val="gap"/>
  </c:chart>
  <c:txPr>
    <a:bodyPr/>
    <a:lstStyle/>
    <a:p>
      <a:pPr>
        <a:defRPr lang="x-none"/>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2016年</c:v>
                </c:pt>
              </c:strCache>
            </c:strRef>
          </c:tx>
          <c:cat>
            <c:strRef>
              <c:f>Sheet1!$A$2:$A$10</c:f>
              <c:strCache>
                <c:ptCount val="9"/>
                <c:pt idx="0">
                  <c:v>会计</c:v>
                </c:pt>
                <c:pt idx="1">
                  <c:v>计算机应用</c:v>
                </c:pt>
                <c:pt idx="2">
                  <c:v>电子商务</c:v>
                </c:pt>
                <c:pt idx="3">
                  <c:v>学前教育</c:v>
                </c:pt>
                <c:pt idx="4">
                  <c:v>计算机网络技术</c:v>
                </c:pt>
                <c:pt idx="5">
                  <c:v>计算机与数码产品维修</c:v>
                </c:pt>
                <c:pt idx="6">
                  <c:v>美术设计与制作</c:v>
                </c:pt>
                <c:pt idx="7">
                  <c:v>市场营销</c:v>
                </c:pt>
                <c:pt idx="8">
                  <c:v>物流服务与管理</c:v>
                </c:pt>
              </c:strCache>
            </c:strRef>
          </c:cat>
          <c:val>
            <c:numRef>
              <c:f>Sheet1!$B$2:$B$10</c:f>
              <c:numCache>
                <c:formatCode>General</c:formatCode>
                <c:ptCount val="9"/>
                <c:pt idx="0">
                  <c:v>310</c:v>
                </c:pt>
                <c:pt idx="1">
                  <c:v>126</c:v>
                </c:pt>
                <c:pt idx="2">
                  <c:v>118</c:v>
                </c:pt>
                <c:pt idx="3">
                  <c:v>391</c:v>
                </c:pt>
                <c:pt idx="4">
                  <c:v>61</c:v>
                </c:pt>
                <c:pt idx="5">
                  <c:v>67</c:v>
                </c:pt>
                <c:pt idx="6">
                  <c:v>72</c:v>
                </c:pt>
                <c:pt idx="7">
                  <c:v>57</c:v>
                </c:pt>
                <c:pt idx="8">
                  <c:v>54</c:v>
                </c:pt>
              </c:numCache>
            </c:numRef>
          </c:val>
        </c:ser>
        <c:ser>
          <c:idx val="1"/>
          <c:order val="1"/>
          <c:tx>
            <c:strRef>
              <c:f>Sheet1!$C$1</c:f>
              <c:strCache>
                <c:ptCount val="1"/>
                <c:pt idx="0">
                  <c:v>2017年</c:v>
                </c:pt>
              </c:strCache>
            </c:strRef>
          </c:tx>
          <c:cat>
            <c:strRef>
              <c:f>Sheet1!$A$2:$A$10</c:f>
              <c:strCache>
                <c:ptCount val="9"/>
                <c:pt idx="0">
                  <c:v>会计</c:v>
                </c:pt>
                <c:pt idx="1">
                  <c:v>计算机应用</c:v>
                </c:pt>
                <c:pt idx="2">
                  <c:v>电子商务</c:v>
                </c:pt>
                <c:pt idx="3">
                  <c:v>学前教育</c:v>
                </c:pt>
                <c:pt idx="4">
                  <c:v>计算机网络技术</c:v>
                </c:pt>
                <c:pt idx="5">
                  <c:v>计算机与数码产品维修</c:v>
                </c:pt>
                <c:pt idx="6">
                  <c:v>美术设计与制作</c:v>
                </c:pt>
                <c:pt idx="7">
                  <c:v>市场营销</c:v>
                </c:pt>
                <c:pt idx="8">
                  <c:v>物流服务与管理</c:v>
                </c:pt>
              </c:strCache>
            </c:strRef>
          </c:cat>
          <c:val>
            <c:numRef>
              <c:f>Sheet1!$C$2:$C$10</c:f>
              <c:numCache>
                <c:formatCode>General</c:formatCode>
                <c:ptCount val="9"/>
                <c:pt idx="0">
                  <c:v>278</c:v>
                </c:pt>
                <c:pt idx="1">
                  <c:v>168</c:v>
                </c:pt>
                <c:pt idx="2">
                  <c:v>199</c:v>
                </c:pt>
                <c:pt idx="3">
                  <c:v>444</c:v>
                </c:pt>
                <c:pt idx="4">
                  <c:v>61</c:v>
                </c:pt>
                <c:pt idx="5">
                  <c:v>67</c:v>
                </c:pt>
                <c:pt idx="6">
                  <c:v>93</c:v>
                </c:pt>
                <c:pt idx="7">
                  <c:v>56</c:v>
                </c:pt>
                <c:pt idx="8">
                  <c:v>57</c:v>
                </c:pt>
              </c:numCache>
            </c:numRef>
          </c:val>
        </c:ser>
        <c:axId val="121954688"/>
        <c:axId val="121956224"/>
      </c:barChart>
      <c:catAx>
        <c:axId val="121954688"/>
        <c:scaling>
          <c:orientation val="minMax"/>
        </c:scaling>
        <c:axPos val="b"/>
        <c:numFmt formatCode="General" sourceLinked="0"/>
        <c:tickLblPos val="nextTo"/>
        <c:txPr>
          <a:bodyPr rot="-60000000" spcFirstLastPara="0" vertOverflow="ellipsis" vert="horz" wrap="square" anchor="ctr" anchorCtr="1"/>
          <a:lstStyle/>
          <a:p>
            <a:pPr>
              <a:defRPr lang="x-none" sz="1000" kern="1200">
                <a:solidFill>
                  <a:schemeClr val="tx1"/>
                </a:solidFill>
                <a:latin typeface="+mn-lt"/>
                <a:ea typeface="+mn-ea"/>
                <a:cs typeface="+mn-cs"/>
              </a:defRPr>
            </a:pPr>
            <a:endParaRPr lang="zh-CN"/>
          </a:p>
        </c:txPr>
        <c:crossAx val="121956224"/>
        <c:crosses val="autoZero"/>
        <c:auto val="1"/>
        <c:lblAlgn val="ctr"/>
        <c:lblOffset val="100"/>
      </c:catAx>
      <c:valAx>
        <c:axId val="121956224"/>
        <c:scaling>
          <c:orientation val="minMax"/>
        </c:scaling>
        <c:axPos val="l"/>
        <c:majorGridlines/>
        <c:numFmt formatCode="General" sourceLinked="1"/>
        <c:tickLblPos val="nextTo"/>
        <c:txPr>
          <a:bodyPr rot="-60000000" spcFirstLastPara="0" vertOverflow="ellipsis" vert="horz" wrap="square" anchor="ctr" anchorCtr="1"/>
          <a:lstStyle/>
          <a:p>
            <a:pPr>
              <a:defRPr lang="x-none" sz="1000" kern="1200">
                <a:solidFill>
                  <a:schemeClr val="tx1"/>
                </a:solidFill>
                <a:latin typeface="+mn-lt"/>
                <a:ea typeface="+mn-ea"/>
                <a:cs typeface="+mn-cs"/>
              </a:defRPr>
            </a:pPr>
            <a:endParaRPr lang="zh-CN"/>
          </a:p>
        </c:txPr>
        <c:crossAx val="121954688"/>
        <c:crosses val="autoZero"/>
        <c:crossBetween val="between"/>
      </c:valAx>
    </c:plotArea>
    <c:legend>
      <c:legendPos val="r"/>
      <c:txPr>
        <a:bodyPr rot="0" spcFirstLastPara="0" vertOverflow="ellipsis" vert="horz" wrap="square" anchor="ctr" anchorCtr="1"/>
        <a:lstStyle/>
        <a:p>
          <a:pPr>
            <a:defRPr lang="x-none" sz="1000" kern="1200">
              <a:solidFill>
                <a:schemeClr val="tx1"/>
              </a:solidFill>
              <a:latin typeface="+mn-lt"/>
              <a:ea typeface="+mn-ea"/>
              <a:cs typeface="+mn-cs"/>
            </a:defRPr>
          </a:pPr>
          <a:endParaRPr lang="zh-CN"/>
        </a:p>
      </c:txPr>
    </c:legend>
    <c:plotVisOnly val="1"/>
    <c:dispBlanksAs val="gap"/>
  </c:chart>
  <c:txPr>
    <a:bodyPr/>
    <a:lstStyle/>
    <a:p>
      <a:pPr>
        <a:defRPr lang="x-none"/>
      </a:pPr>
      <a:endParaRPr lang="zh-CN"/>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35741FE5-D3FF-454E-931E-D6DE6E904A41}" type="doc">
      <dgm:prSet loTypeId="urn:microsoft.com/office/officeart/2005/8/layout/cycle4#2" loCatId="cycle" qsTypeId="urn:microsoft.com/office/officeart/2005/8/quickstyle/simple1#1" qsCatId="simple" csTypeId="urn:microsoft.com/office/officeart/2005/8/colors/accent1_2#1" csCatId="accent1" phldr="1"/>
      <dgm:spPr/>
      <dgm:t>
        <a:bodyPr/>
        <a:lstStyle/>
        <a:p>
          <a:endParaRPr lang="zh-CN" altLang="en-US"/>
        </a:p>
      </dgm:t>
    </dgm:pt>
    <dgm:pt modelId="{D9A5FA40-5A79-48B0-9539-6F40E877BD89}">
      <dgm:prSet phldrT="[文本]"/>
      <dgm:spPr/>
      <dgm:t>
        <a:bodyPr/>
        <a:lstStyle/>
        <a:p>
          <a:r>
            <a:rPr lang="zh-CN" altLang="en-US"/>
            <a:t>教育类</a:t>
          </a:r>
        </a:p>
      </dgm:t>
    </dgm:pt>
    <dgm:pt modelId="{74D296D5-ACB6-4BF5-AC30-35354A93D268}" type="parTrans" cxnId="{82BAB723-225B-477B-91B5-BF96177F3DC1}">
      <dgm:prSet/>
      <dgm:spPr/>
      <dgm:t>
        <a:bodyPr/>
        <a:lstStyle/>
        <a:p>
          <a:endParaRPr lang="zh-CN" altLang="en-US"/>
        </a:p>
      </dgm:t>
    </dgm:pt>
    <dgm:pt modelId="{55965359-6ECA-42C6-BF52-8D5B32947709}" type="sibTrans" cxnId="{82BAB723-225B-477B-91B5-BF96177F3DC1}">
      <dgm:prSet/>
      <dgm:spPr/>
      <dgm:t>
        <a:bodyPr/>
        <a:lstStyle/>
        <a:p>
          <a:endParaRPr lang="zh-CN" altLang="en-US"/>
        </a:p>
      </dgm:t>
    </dgm:pt>
    <dgm:pt modelId="{B8852A5F-C240-4CF3-882A-03B6D51C9267}">
      <dgm:prSet phldrT="[文本]" custT="1"/>
      <dgm:spPr/>
      <dgm:t>
        <a:bodyPr/>
        <a:lstStyle/>
        <a:p>
          <a:r>
            <a:rPr lang="zh-CN" altLang="en-US" sz="1200"/>
            <a:t>学前教育</a:t>
          </a:r>
        </a:p>
      </dgm:t>
    </dgm:pt>
    <dgm:pt modelId="{505DC890-2EA1-4C27-AEA8-50E87D8ECE58}" type="parTrans" cxnId="{6AC6389E-5B08-4B42-95E0-9FA5DAA3875C}">
      <dgm:prSet/>
      <dgm:spPr/>
      <dgm:t>
        <a:bodyPr/>
        <a:lstStyle/>
        <a:p>
          <a:endParaRPr lang="zh-CN" altLang="en-US"/>
        </a:p>
      </dgm:t>
    </dgm:pt>
    <dgm:pt modelId="{171C0F60-CFA8-49A3-A6F8-6D52AEC54721}" type="sibTrans" cxnId="{6AC6389E-5B08-4B42-95E0-9FA5DAA3875C}">
      <dgm:prSet/>
      <dgm:spPr/>
      <dgm:t>
        <a:bodyPr/>
        <a:lstStyle/>
        <a:p>
          <a:endParaRPr lang="zh-CN" altLang="en-US"/>
        </a:p>
      </dgm:t>
    </dgm:pt>
    <dgm:pt modelId="{5EE6660D-C3AC-4800-B7EB-3101A05BD4E0}">
      <dgm:prSet phldrT="[文本]"/>
      <dgm:spPr/>
      <dgm:t>
        <a:bodyPr/>
        <a:lstStyle/>
        <a:p>
          <a:r>
            <a:rPr lang="zh-CN"/>
            <a:t>财经商贸类</a:t>
          </a:r>
          <a:endParaRPr lang="zh-CN" altLang="en-US"/>
        </a:p>
      </dgm:t>
    </dgm:pt>
    <dgm:pt modelId="{3D08455F-5C52-45A2-AC35-B86192FA0377}" type="parTrans" cxnId="{0AA27590-B313-4410-9D74-565F1FA14179}">
      <dgm:prSet/>
      <dgm:spPr/>
      <dgm:t>
        <a:bodyPr/>
        <a:lstStyle/>
        <a:p>
          <a:endParaRPr lang="zh-CN" altLang="en-US"/>
        </a:p>
      </dgm:t>
    </dgm:pt>
    <dgm:pt modelId="{5B5CFBE2-5537-4D40-8BB7-3E8EC34FD6CF}" type="sibTrans" cxnId="{0AA27590-B313-4410-9D74-565F1FA14179}">
      <dgm:prSet/>
      <dgm:spPr/>
      <dgm:t>
        <a:bodyPr/>
        <a:lstStyle/>
        <a:p>
          <a:endParaRPr lang="zh-CN" altLang="en-US"/>
        </a:p>
      </dgm:t>
    </dgm:pt>
    <dgm:pt modelId="{E1CCD875-5761-45A2-8CC5-6298D0E44CA9}">
      <dgm:prSet phldrT="[文本]" custT="1"/>
      <dgm:spPr/>
      <dgm:t>
        <a:bodyPr/>
        <a:lstStyle/>
        <a:p>
          <a:r>
            <a:rPr lang="zh-CN" altLang="en-US" sz="1200"/>
            <a:t>   会计</a:t>
          </a:r>
        </a:p>
      </dgm:t>
    </dgm:pt>
    <dgm:pt modelId="{1EC78178-8AFD-4BA2-B450-7AED143545AD}" type="parTrans" cxnId="{C887A375-35E3-4CAA-8CC6-ADECE634FEE3}">
      <dgm:prSet/>
      <dgm:spPr/>
      <dgm:t>
        <a:bodyPr/>
        <a:lstStyle/>
        <a:p>
          <a:endParaRPr lang="zh-CN" altLang="en-US"/>
        </a:p>
      </dgm:t>
    </dgm:pt>
    <dgm:pt modelId="{4A0794D0-3448-43D3-B89B-A4A994DA9C3B}" type="sibTrans" cxnId="{C887A375-35E3-4CAA-8CC6-ADECE634FEE3}">
      <dgm:prSet/>
      <dgm:spPr/>
      <dgm:t>
        <a:bodyPr/>
        <a:lstStyle/>
        <a:p>
          <a:endParaRPr lang="zh-CN" altLang="en-US"/>
        </a:p>
      </dgm:t>
    </dgm:pt>
    <dgm:pt modelId="{323B9EA7-F7C1-476D-84DB-ABD91AEFED7A}">
      <dgm:prSet phldrT="[文本]"/>
      <dgm:spPr/>
      <dgm:t>
        <a:bodyPr/>
        <a:lstStyle/>
        <a:p>
          <a:pPr algn="l"/>
          <a:r>
            <a:rPr lang="zh-CN"/>
            <a:t>文化艺术类</a:t>
          </a:r>
          <a:endParaRPr lang="zh-CN" altLang="en-US"/>
        </a:p>
      </dgm:t>
    </dgm:pt>
    <dgm:pt modelId="{D741936B-1633-419D-8D29-0CE4D6946FD9}" type="parTrans" cxnId="{E0EB3BB0-DE7E-4BE2-8E4B-67B1EE11C21E}">
      <dgm:prSet/>
      <dgm:spPr/>
      <dgm:t>
        <a:bodyPr/>
        <a:lstStyle/>
        <a:p>
          <a:endParaRPr lang="zh-CN" altLang="en-US"/>
        </a:p>
      </dgm:t>
    </dgm:pt>
    <dgm:pt modelId="{CCB1BCEE-D9D2-4101-A9D1-66A3C5BD556F}" type="sibTrans" cxnId="{E0EB3BB0-DE7E-4BE2-8E4B-67B1EE11C21E}">
      <dgm:prSet/>
      <dgm:spPr/>
      <dgm:t>
        <a:bodyPr/>
        <a:lstStyle/>
        <a:p>
          <a:endParaRPr lang="zh-CN" altLang="en-US"/>
        </a:p>
      </dgm:t>
    </dgm:pt>
    <dgm:pt modelId="{5A08DBF2-E16F-45B8-83D4-94E57DA830C9}">
      <dgm:prSet phldrT="[文本]" custT="1"/>
      <dgm:spPr/>
      <dgm:t>
        <a:bodyPr/>
        <a:lstStyle/>
        <a:p>
          <a:r>
            <a:rPr lang="zh-CN" altLang="en-US" sz="1200"/>
            <a:t>    美术设计与制作</a:t>
          </a:r>
          <a:endParaRPr lang="zh-CN" altLang="en-US" sz="1600"/>
        </a:p>
      </dgm:t>
    </dgm:pt>
    <dgm:pt modelId="{F94FC90A-F0C1-4F2A-AE08-3A6FAB5BD6DF}" type="parTrans" cxnId="{8897E9D5-0D04-427C-A21F-903FA2F6FAD6}">
      <dgm:prSet/>
      <dgm:spPr/>
      <dgm:t>
        <a:bodyPr/>
        <a:lstStyle/>
        <a:p>
          <a:endParaRPr lang="zh-CN" altLang="en-US"/>
        </a:p>
      </dgm:t>
    </dgm:pt>
    <dgm:pt modelId="{FA6040FE-F23B-4A8C-BA37-086310AD1905}" type="sibTrans" cxnId="{8897E9D5-0D04-427C-A21F-903FA2F6FAD6}">
      <dgm:prSet/>
      <dgm:spPr/>
      <dgm:t>
        <a:bodyPr/>
        <a:lstStyle/>
        <a:p>
          <a:endParaRPr lang="zh-CN" altLang="en-US"/>
        </a:p>
      </dgm:t>
    </dgm:pt>
    <dgm:pt modelId="{262CCD30-176A-49A6-A3C2-11EB61E035B9}">
      <dgm:prSet phldrT="[文本]"/>
      <dgm:spPr/>
      <dgm:t>
        <a:bodyPr/>
        <a:lstStyle/>
        <a:p>
          <a:r>
            <a:rPr lang="zh-CN"/>
            <a:t>信息技术类</a:t>
          </a:r>
          <a:endParaRPr lang="zh-CN" altLang="en-US"/>
        </a:p>
      </dgm:t>
    </dgm:pt>
    <dgm:pt modelId="{1F1E19DB-79E1-4491-8A8E-3E10B805119A}" type="parTrans" cxnId="{64D374D9-4435-4D1D-A7FC-6C5419AA50BE}">
      <dgm:prSet/>
      <dgm:spPr/>
      <dgm:t>
        <a:bodyPr/>
        <a:lstStyle/>
        <a:p>
          <a:endParaRPr lang="zh-CN" altLang="en-US"/>
        </a:p>
      </dgm:t>
    </dgm:pt>
    <dgm:pt modelId="{2EA6378B-3A51-49D2-99F2-DC2E3E3A8622}" type="sibTrans" cxnId="{64D374D9-4435-4D1D-A7FC-6C5419AA50BE}">
      <dgm:prSet/>
      <dgm:spPr/>
      <dgm:t>
        <a:bodyPr/>
        <a:lstStyle/>
        <a:p>
          <a:endParaRPr lang="zh-CN" altLang="en-US"/>
        </a:p>
      </dgm:t>
    </dgm:pt>
    <dgm:pt modelId="{976E1803-E650-4A1C-A578-3E3D2EFE2E80}">
      <dgm:prSet phldrT="[文本]" custT="1"/>
      <dgm:spPr/>
      <dgm:t>
        <a:bodyPr/>
        <a:lstStyle/>
        <a:p>
          <a:pPr algn="l">
            <a:lnSpc>
              <a:spcPct val="100000"/>
            </a:lnSpc>
            <a:spcAft>
              <a:spcPts val="0"/>
            </a:spcAft>
          </a:pPr>
          <a:r>
            <a:rPr lang="zh-CN" altLang="en-US" sz="1200"/>
            <a:t>计算机应用</a:t>
          </a:r>
        </a:p>
      </dgm:t>
    </dgm:pt>
    <dgm:pt modelId="{859282F4-7C3F-4FD1-AA06-2B3639C4FC69}" type="parTrans" cxnId="{40059096-6639-443F-AA05-6C7054FFA4F6}">
      <dgm:prSet/>
      <dgm:spPr/>
      <dgm:t>
        <a:bodyPr/>
        <a:lstStyle/>
        <a:p>
          <a:endParaRPr lang="zh-CN" altLang="en-US"/>
        </a:p>
      </dgm:t>
    </dgm:pt>
    <dgm:pt modelId="{91A98E31-1E0F-449C-AFF5-764A0E9525AC}" type="sibTrans" cxnId="{40059096-6639-443F-AA05-6C7054FFA4F6}">
      <dgm:prSet/>
      <dgm:spPr/>
      <dgm:t>
        <a:bodyPr/>
        <a:lstStyle/>
        <a:p>
          <a:endParaRPr lang="zh-CN" altLang="en-US"/>
        </a:p>
      </dgm:t>
    </dgm:pt>
    <dgm:pt modelId="{8C6E703D-A9F6-4B95-9E67-C47AFAD74732}">
      <dgm:prSet phldrT="[文本]" custT="1"/>
      <dgm:spPr/>
      <dgm:t>
        <a:bodyPr/>
        <a:lstStyle/>
        <a:p>
          <a:r>
            <a:rPr lang="zh-CN" altLang="en-US" sz="1200"/>
            <a:t>    电子商务</a:t>
          </a:r>
        </a:p>
      </dgm:t>
    </dgm:pt>
    <dgm:pt modelId="{DB2D1666-003B-4533-894F-E0F0CC4C3AA1}" type="parTrans" cxnId="{27AB83B0-6ABA-431A-8BED-979323ABAE2C}">
      <dgm:prSet/>
      <dgm:spPr/>
      <dgm:t>
        <a:bodyPr/>
        <a:lstStyle/>
        <a:p>
          <a:endParaRPr lang="zh-CN" altLang="en-US"/>
        </a:p>
      </dgm:t>
    </dgm:pt>
    <dgm:pt modelId="{37490CC2-5EA0-43A0-B584-EF37782FB058}" type="sibTrans" cxnId="{27AB83B0-6ABA-431A-8BED-979323ABAE2C}">
      <dgm:prSet/>
      <dgm:spPr/>
      <dgm:t>
        <a:bodyPr/>
        <a:lstStyle/>
        <a:p>
          <a:endParaRPr lang="zh-CN" altLang="en-US"/>
        </a:p>
      </dgm:t>
    </dgm:pt>
    <dgm:pt modelId="{2A742659-61D5-4242-8FF7-E2EBEDE437BB}">
      <dgm:prSet phldrT="[文本]" custT="1"/>
      <dgm:spPr/>
      <dgm:t>
        <a:bodyPr/>
        <a:lstStyle/>
        <a:p>
          <a:r>
            <a:rPr lang="zh-CN" altLang="en-US" sz="1200"/>
            <a:t>   市场营销</a:t>
          </a:r>
        </a:p>
      </dgm:t>
    </dgm:pt>
    <dgm:pt modelId="{5F5733B2-FE99-4952-A4EB-972F88D0D5C9}" type="parTrans" cxnId="{06513A9E-866B-439E-8C55-F11E7F0FC117}">
      <dgm:prSet/>
      <dgm:spPr/>
      <dgm:t>
        <a:bodyPr/>
        <a:lstStyle/>
        <a:p>
          <a:endParaRPr lang="zh-CN" altLang="en-US"/>
        </a:p>
      </dgm:t>
    </dgm:pt>
    <dgm:pt modelId="{293AC45C-44AB-46FC-A2C7-DCCECDCB503D}" type="sibTrans" cxnId="{06513A9E-866B-439E-8C55-F11E7F0FC117}">
      <dgm:prSet/>
      <dgm:spPr/>
      <dgm:t>
        <a:bodyPr/>
        <a:lstStyle/>
        <a:p>
          <a:endParaRPr lang="zh-CN" altLang="en-US"/>
        </a:p>
      </dgm:t>
    </dgm:pt>
    <dgm:pt modelId="{821754FC-B970-47D4-A6AB-E87C4A193BB6}">
      <dgm:prSet phldrT="[文本]" custT="1"/>
      <dgm:spPr/>
      <dgm:t>
        <a:bodyPr/>
        <a:lstStyle/>
        <a:p>
          <a:r>
            <a:rPr lang="zh-CN" altLang="en-US" sz="1200"/>
            <a:t>    物流服务与管理专业</a:t>
          </a:r>
        </a:p>
      </dgm:t>
    </dgm:pt>
    <dgm:pt modelId="{BE6E444D-51CB-41A8-9B42-2E1643B4A9AD}" type="parTrans" cxnId="{8D03D0D3-D1CB-4952-A745-36E3FD363C1F}">
      <dgm:prSet/>
      <dgm:spPr/>
      <dgm:t>
        <a:bodyPr/>
        <a:lstStyle/>
        <a:p>
          <a:endParaRPr lang="zh-CN" altLang="en-US"/>
        </a:p>
      </dgm:t>
    </dgm:pt>
    <dgm:pt modelId="{CC6E9759-BF8F-4D8A-B63A-8CE0AEA1847B}" type="sibTrans" cxnId="{8D03D0D3-D1CB-4952-A745-36E3FD363C1F}">
      <dgm:prSet/>
      <dgm:spPr/>
      <dgm:t>
        <a:bodyPr/>
        <a:lstStyle/>
        <a:p>
          <a:endParaRPr lang="zh-CN" altLang="en-US"/>
        </a:p>
      </dgm:t>
    </dgm:pt>
    <dgm:pt modelId="{2881FD04-905D-4932-8812-33EB609B8D93}">
      <dgm:prSet phldrT="[文本]" custT="1"/>
      <dgm:spPr/>
      <dgm:t>
        <a:bodyPr/>
        <a:lstStyle/>
        <a:p>
          <a:pPr algn="l">
            <a:lnSpc>
              <a:spcPct val="100000"/>
            </a:lnSpc>
            <a:spcAft>
              <a:spcPts val="0"/>
            </a:spcAft>
          </a:pPr>
          <a:r>
            <a:rPr lang="zh-CN" altLang="en-US" sz="1200"/>
            <a:t>计算机网络技术专业</a:t>
          </a:r>
        </a:p>
      </dgm:t>
    </dgm:pt>
    <dgm:pt modelId="{9CC364D8-AE10-4FDD-A4D5-598BBBE7FA67}" type="parTrans" cxnId="{992F1632-605F-4927-AEB8-EC914AABD115}">
      <dgm:prSet/>
      <dgm:spPr/>
      <dgm:t>
        <a:bodyPr/>
        <a:lstStyle/>
        <a:p>
          <a:endParaRPr lang="zh-CN" altLang="en-US"/>
        </a:p>
      </dgm:t>
    </dgm:pt>
    <dgm:pt modelId="{65C5074C-8819-465B-98E0-3C7DA0D6416F}" type="sibTrans" cxnId="{992F1632-605F-4927-AEB8-EC914AABD115}">
      <dgm:prSet/>
      <dgm:spPr/>
      <dgm:t>
        <a:bodyPr/>
        <a:lstStyle/>
        <a:p>
          <a:endParaRPr lang="zh-CN" altLang="en-US"/>
        </a:p>
      </dgm:t>
    </dgm:pt>
    <dgm:pt modelId="{F8551221-9697-45B9-9D15-767D0729B3DB}">
      <dgm:prSet phldrT="[文本]" custT="1"/>
      <dgm:spPr/>
      <dgm:t>
        <a:bodyPr/>
        <a:lstStyle/>
        <a:p>
          <a:pPr algn="l">
            <a:lnSpc>
              <a:spcPct val="100000"/>
            </a:lnSpc>
            <a:spcAft>
              <a:spcPts val="0"/>
            </a:spcAft>
          </a:pPr>
          <a:r>
            <a:rPr lang="zh-CN" altLang="en-US" sz="1200"/>
            <a:t>计算机与数码产品维修</a:t>
          </a:r>
        </a:p>
      </dgm:t>
    </dgm:pt>
    <dgm:pt modelId="{9F44A624-C2D6-4ADD-B57C-E7FAE3A040EA}" type="parTrans" cxnId="{CC290FF4-F23E-4558-9D87-B92E8B317589}">
      <dgm:prSet/>
      <dgm:spPr/>
      <dgm:t>
        <a:bodyPr/>
        <a:lstStyle/>
        <a:p>
          <a:endParaRPr lang="zh-CN" altLang="en-US"/>
        </a:p>
      </dgm:t>
    </dgm:pt>
    <dgm:pt modelId="{2457C5E6-2301-4FF3-AF56-958DC9E210F6}" type="sibTrans" cxnId="{CC290FF4-F23E-4558-9D87-B92E8B317589}">
      <dgm:prSet/>
      <dgm:spPr/>
      <dgm:t>
        <a:bodyPr/>
        <a:lstStyle/>
        <a:p>
          <a:endParaRPr lang="zh-CN" altLang="en-US"/>
        </a:p>
      </dgm:t>
    </dgm:pt>
    <dgm:pt modelId="{37259900-A09F-496A-A321-D6D183F82C5B}">
      <dgm:prSet phldrT="[文本]" custT="1"/>
      <dgm:spPr/>
      <dgm:t>
        <a:bodyPr/>
        <a:lstStyle/>
        <a:p>
          <a:endParaRPr lang="zh-CN" altLang="en-US" sz="1200"/>
        </a:p>
      </dgm:t>
    </dgm:pt>
    <dgm:pt modelId="{9374609F-B7F5-4DB6-B58D-68BCE5FB0F11}" type="parTrans" cxnId="{4B8C3D27-DD2B-457A-A736-A89869FC9E89}">
      <dgm:prSet/>
      <dgm:spPr/>
    </dgm:pt>
    <dgm:pt modelId="{5A324991-9610-4C5C-AF46-69F6240CCCC8}" type="sibTrans" cxnId="{4B8C3D27-DD2B-457A-A736-A89869FC9E89}">
      <dgm:prSet/>
      <dgm:spPr/>
    </dgm:pt>
    <dgm:pt modelId="{538DEBF6-3961-404E-BF83-7B9010D2499B}">
      <dgm:prSet phldrT="[文本]" custT="1"/>
      <dgm:spPr/>
      <dgm:t>
        <a:bodyPr/>
        <a:lstStyle/>
        <a:p>
          <a:endParaRPr lang="zh-CN" altLang="en-US" sz="1200"/>
        </a:p>
      </dgm:t>
    </dgm:pt>
    <dgm:pt modelId="{80789738-C34E-4253-863A-343D9115179F}" type="parTrans" cxnId="{272BE4D0-2504-4211-9AD9-53C11DDA69B0}">
      <dgm:prSet/>
      <dgm:spPr/>
    </dgm:pt>
    <dgm:pt modelId="{D8266EDC-5134-4DAD-869A-D521A5391171}" type="sibTrans" cxnId="{272BE4D0-2504-4211-9AD9-53C11DDA69B0}">
      <dgm:prSet/>
      <dgm:spPr/>
    </dgm:pt>
    <dgm:pt modelId="{FA93F5A9-ED43-4875-864D-A9AF13646B68}" type="pres">
      <dgm:prSet presAssocID="{35741FE5-D3FF-454E-931E-D6DE6E904A41}" presName="cycleMatrixDiagram" presStyleCnt="0">
        <dgm:presLayoutVars>
          <dgm:chMax val="1"/>
          <dgm:dir/>
          <dgm:animLvl val="lvl"/>
          <dgm:resizeHandles val="exact"/>
        </dgm:presLayoutVars>
      </dgm:prSet>
      <dgm:spPr/>
      <dgm:t>
        <a:bodyPr/>
        <a:lstStyle/>
        <a:p>
          <a:endParaRPr lang="zh-CN" altLang="en-US"/>
        </a:p>
      </dgm:t>
    </dgm:pt>
    <dgm:pt modelId="{560A8DBE-418B-490A-A364-E873A2812005}" type="pres">
      <dgm:prSet presAssocID="{35741FE5-D3FF-454E-931E-D6DE6E904A41}" presName="children" presStyleCnt="0"/>
      <dgm:spPr/>
      <dgm:t>
        <a:bodyPr/>
        <a:lstStyle/>
        <a:p>
          <a:endParaRPr lang="zh-CN" altLang="en-US"/>
        </a:p>
      </dgm:t>
    </dgm:pt>
    <dgm:pt modelId="{DEDD8639-84DB-451E-B9E7-8827000CD67A}" type="pres">
      <dgm:prSet presAssocID="{35741FE5-D3FF-454E-931E-D6DE6E904A41}" presName="child1group" presStyleCnt="0"/>
      <dgm:spPr/>
      <dgm:t>
        <a:bodyPr/>
        <a:lstStyle/>
        <a:p>
          <a:endParaRPr lang="zh-CN" altLang="en-US"/>
        </a:p>
      </dgm:t>
    </dgm:pt>
    <dgm:pt modelId="{9E582AB0-B177-49C6-AC18-99A55725DFAD}" type="pres">
      <dgm:prSet presAssocID="{35741FE5-D3FF-454E-931E-D6DE6E904A41}" presName="child1" presStyleLbl="bgAcc1" presStyleIdx="0" presStyleCnt="4" custScaleX="203441" custScaleY="146394" custLinFactNeighborX="-52733" custLinFactNeighborY="20192"/>
      <dgm:spPr/>
      <dgm:t>
        <a:bodyPr/>
        <a:lstStyle/>
        <a:p>
          <a:endParaRPr lang="zh-CN" altLang="en-US"/>
        </a:p>
      </dgm:t>
    </dgm:pt>
    <dgm:pt modelId="{B4FA3177-E377-4FEC-96A9-B142CD5B1447}" type="pres">
      <dgm:prSet presAssocID="{35741FE5-D3FF-454E-931E-D6DE6E904A41}" presName="child1Text" presStyleLbl="bgAcc1" presStyleIdx="0" presStyleCnt="4">
        <dgm:presLayoutVars>
          <dgm:bulletEnabled val="1"/>
        </dgm:presLayoutVars>
      </dgm:prSet>
      <dgm:spPr/>
      <dgm:t>
        <a:bodyPr/>
        <a:lstStyle/>
        <a:p>
          <a:endParaRPr lang="zh-CN" altLang="en-US"/>
        </a:p>
      </dgm:t>
    </dgm:pt>
    <dgm:pt modelId="{003E07D5-5DDE-4174-8EAD-219FA262D149}" type="pres">
      <dgm:prSet presAssocID="{35741FE5-D3FF-454E-931E-D6DE6E904A41}" presName="child2group" presStyleCnt="0"/>
      <dgm:spPr/>
      <dgm:t>
        <a:bodyPr/>
        <a:lstStyle/>
        <a:p>
          <a:endParaRPr lang="zh-CN" altLang="en-US"/>
        </a:p>
      </dgm:t>
    </dgm:pt>
    <dgm:pt modelId="{3334752F-491D-403C-A82A-157AF02FA806}" type="pres">
      <dgm:prSet presAssocID="{35741FE5-D3FF-454E-931E-D6DE6E904A41}" presName="child2" presStyleLbl="bgAcc1" presStyleIdx="1" presStyleCnt="4" custScaleX="229712" custScaleY="146394" custLinFactNeighborX="65205" custLinFactNeighborY="23197"/>
      <dgm:spPr/>
      <dgm:t>
        <a:bodyPr/>
        <a:lstStyle/>
        <a:p>
          <a:endParaRPr lang="zh-CN" altLang="en-US"/>
        </a:p>
      </dgm:t>
    </dgm:pt>
    <dgm:pt modelId="{DB5B9BC6-5FA1-453D-AEF5-D8537A9CC958}" type="pres">
      <dgm:prSet presAssocID="{35741FE5-D3FF-454E-931E-D6DE6E904A41}" presName="child2Text" presStyleLbl="bgAcc1" presStyleIdx="1" presStyleCnt="4">
        <dgm:presLayoutVars>
          <dgm:bulletEnabled val="1"/>
        </dgm:presLayoutVars>
      </dgm:prSet>
      <dgm:spPr/>
      <dgm:t>
        <a:bodyPr/>
        <a:lstStyle/>
        <a:p>
          <a:endParaRPr lang="zh-CN" altLang="en-US"/>
        </a:p>
      </dgm:t>
    </dgm:pt>
    <dgm:pt modelId="{3B136029-D016-4C67-8014-4BAE75EDC01A}" type="pres">
      <dgm:prSet presAssocID="{35741FE5-D3FF-454E-931E-D6DE6E904A41}" presName="child3group" presStyleCnt="0"/>
      <dgm:spPr/>
      <dgm:t>
        <a:bodyPr/>
        <a:lstStyle/>
        <a:p>
          <a:endParaRPr lang="zh-CN" altLang="en-US"/>
        </a:p>
      </dgm:t>
    </dgm:pt>
    <dgm:pt modelId="{EBE82218-6627-489F-B4B3-87D23D34A4C9}" type="pres">
      <dgm:prSet presAssocID="{35741FE5-D3FF-454E-931E-D6DE6E904A41}" presName="child3" presStyleLbl="bgAcc1" presStyleIdx="2" presStyleCnt="4" custScaleX="227613" custScaleY="166277" custLinFactNeighborX="65205" custLinFactNeighborY="-23197"/>
      <dgm:spPr/>
      <dgm:t>
        <a:bodyPr/>
        <a:lstStyle/>
        <a:p>
          <a:endParaRPr lang="zh-CN" altLang="en-US"/>
        </a:p>
      </dgm:t>
    </dgm:pt>
    <dgm:pt modelId="{049CC0AD-9DC5-49D0-B80E-E414EBD47501}" type="pres">
      <dgm:prSet presAssocID="{35741FE5-D3FF-454E-931E-D6DE6E904A41}" presName="child3Text" presStyleLbl="bgAcc1" presStyleIdx="2" presStyleCnt="4">
        <dgm:presLayoutVars>
          <dgm:bulletEnabled val="1"/>
        </dgm:presLayoutVars>
      </dgm:prSet>
      <dgm:spPr/>
      <dgm:t>
        <a:bodyPr/>
        <a:lstStyle/>
        <a:p>
          <a:endParaRPr lang="zh-CN" altLang="en-US"/>
        </a:p>
      </dgm:t>
    </dgm:pt>
    <dgm:pt modelId="{80F14F5E-E4AF-46B9-AEE4-3949AB0A5CF7}" type="pres">
      <dgm:prSet presAssocID="{35741FE5-D3FF-454E-931E-D6DE6E904A41}" presName="child4group" presStyleCnt="0"/>
      <dgm:spPr/>
      <dgm:t>
        <a:bodyPr/>
        <a:lstStyle/>
        <a:p>
          <a:endParaRPr lang="zh-CN" altLang="en-US"/>
        </a:p>
      </dgm:t>
    </dgm:pt>
    <dgm:pt modelId="{C08C9087-CDD7-4DC0-A28D-E5896A1C44DE}" type="pres">
      <dgm:prSet presAssocID="{35741FE5-D3FF-454E-931E-D6DE6E904A41}" presName="child4" presStyleLbl="bgAcc1" presStyleIdx="3" presStyleCnt="4" custScaleX="225980" custScaleY="161306" custLinFactNeighborX="-51365" custLinFactNeighborY="-23197"/>
      <dgm:spPr/>
      <dgm:t>
        <a:bodyPr/>
        <a:lstStyle/>
        <a:p>
          <a:endParaRPr lang="zh-CN" altLang="en-US"/>
        </a:p>
      </dgm:t>
    </dgm:pt>
    <dgm:pt modelId="{3E6ED2B8-538D-447C-BE02-872A4A9275BB}" type="pres">
      <dgm:prSet presAssocID="{35741FE5-D3FF-454E-931E-D6DE6E904A41}" presName="child4Text" presStyleLbl="bgAcc1" presStyleIdx="3" presStyleCnt="4">
        <dgm:presLayoutVars>
          <dgm:bulletEnabled val="1"/>
        </dgm:presLayoutVars>
      </dgm:prSet>
      <dgm:spPr/>
      <dgm:t>
        <a:bodyPr/>
        <a:lstStyle/>
        <a:p>
          <a:endParaRPr lang="zh-CN" altLang="en-US"/>
        </a:p>
      </dgm:t>
    </dgm:pt>
    <dgm:pt modelId="{12BC8390-E140-45B6-8074-881CEEB360C8}" type="pres">
      <dgm:prSet presAssocID="{35741FE5-D3FF-454E-931E-D6DE6E904A41}" presName="childPlaceholder" presStyleCnt="0"/>
      <dgm:spPr/>
      <dgm:t>
        <a:bodyPr/>
        <a:lstStyle/>
        <a:p>
          <a:endParaRPr lang="zh-CN" altLang="en-US"/>
        </a:p>
      </dgm:t>
    </dgm:pt>
    <dgm:pt modelId="{E6526951-AC4A-48CF-88A9-01808082A6A4}" type="pres">
      <dgm:prSet presAssocID="{35741FE5-D3FF-454E-931E-D6DE6E904A41}" presName="circle" presStyleCnt="0"/>
      <dgm:spPr/>
      <dgm:t>
        <a:bodyPr/>
        <a:lstStyle/>
        <a:p>
          <a:endParaRPr lang="zh-CN" altLang="en-US"/>
        </a:p>
      </dgm:t>
    </dgm:pt>
    <dgm:pt modelId="{BDEB9F0B-22E8-49EB-9F6B-242B0ECAF6D5}" type="pres">
      <dgm:prSet presAssocID="{35741FE5-D3FF-454E-931E-D6DE6E904A41}" presName="quadrant1" presStyleLbl="node1" presStyleIdx="0" presStyleCnt="4" custLinFactNeighborX="-8446" custLinFactNeighborY="-15001">
        <dgm:presLayoutVars>
          <dgm:chMax val="1"/>
          <dgm:bulletEnabled val="1"/>
        </dgm:presLayoutVars>
      </dgm:prSet>
      <dgm:spPr/>
      <dgm:t>
        <a:bodyPr/>
        <a:lstStyle/>
        <a:p>
          <a:endParaRPr lang="zh-CN" altLang="en-US"/>
        </a:p>
      </dgm:t>
    </dgm:pt>
    <dgm:pt modelId="{B13F92F9-143D-40FC-ADD4-BB07D4E5B18E}" type="pres">
      <dgm:prSet presAssocID="{35741FE5-D3FF-454E-931E-D6DE6E904A41}" presName="quadrant2" presStyleLbl="node1" presStyleIdx="1" presStyleCnt="4" custLinFactNeighborX="-10323" custLinFactNeighborY="-15001">
        <dgm:presLayoutVars>
          <dgm:chMax val="1"/>
          <dgm:bulletEnabled val="1"/>
        </dgm:presLayoutVars>
      </dgm:prSet>
      <dgm:spPr/>
      <dgm:t>
        <a:bodyPr/>
        <a:lstStyle/>
        <a:p>
          <a:endParaRPr lang="zh-CN" altLang="en-US"/>
        </a:p>
      </dgm:t>
    </dgm:pt>
    <dgm:pt modelId="{E588DB8B-90D7-424D-9544-7EF44A7A88BC}" type="pres">
      <dgm:prSet presAssocID="{35741FE5-D3FF-454E-931E-D6DE6E904A41}" presName="quadrant3" presStyleLbl="node1" presStyleIdx="2" presStyleCnt="4" custLinFactNeighborX="-8446" custLinFactNeighborY="-16564">
        <dgm:presLayoutVars>
          <dgm:chMax val="1"/>
          <dgm:bulletEnabled val="1"/>
        </dgm:presLayoutVars>
      </dgm:prSet>
      <dgm:spPr/>
      <dgm:t>
        <a:bodyPr/>
        <a:lstStyle/>
        <a:p>
          <a:endParaRPr lang="zh-CN" altLang="en-US"/>
        </a:p>
      </dgm:t>
    </dgm:pt>
    <dgm:pt modelId="{67EE7A87-A0BF-48F3-9CE2-25289C58F5C1}" type="pres">
      <dgm:prSet presAssocID="{35741FE5-D3FF-454E-931E-D6DE6E904A41}" presName="quadrant4" presStyleLbl="node1" presStyleIdx="3" presStyleCnt="4" custLinFactNeighborX="-9822" custLinFactNeighborY="-16456">
        <dgm:presLayoutVars>
          <dgm:chMax val="1"/>
          <dgm:bulletEnabled val="1"/>
        </dgm:presLayoutVars>
      </dgm:prSet>
      <dgm:spPr/>
      <dgm:t>
        <a:bodyPr/>
        <a:lstStyle/>
        <a:p>
          <a:endParaRPr lang="zh-CN" altLang="en-US"/>
        </a:p>
      </dgm:t>
    </dgm:pt>
    <dgm:pt modelId="{C5EFB48D-805C-43EE-9C56-B5F88E7481F9}" type="pres">
      <dgm:prSet presAssocID="{35741FE5-D3FF-454E-931E-D6DE6E904A41}" presName="quadrantPlaceholder" presStyleCnt="0"/>
      <dgm:spPr/>
      <dgm:t>
        <a:bodyPr/>
        <a:lstStyle/>
        <a:p>
          <a:endParaRPr lang="zh-CN" altLang="en-US"/>
        </a:p>
      </dgm:t>
    </dgm:pt>
    <dgm:pt modelId="{FF56EFBB-8E2D-4770-99CD-CD3412322A03}" type="pres">
      <dgm:prSet presAssocID="{35741FE5-D3FF-454E-931E-D6DE6E904A41}" presName="center1" presStyleLbl="fgShp" presStyleIdx="0" presStyleCnt="2" custFlipVert="1" custScaleY="59172" custLinFactX="395922" custLinFactY="100000" custLinFactNeighborX="400000" custLinFactNeighborY="174408"/>
      <dgm:spPr/>
      <dgm:t>
        <a:bodyPr/>
        <a:lstStyle/>
        <a:p>
          <a:endParaRPr lang="zh-CN" altLang="en-US"/>
        </a:p>
      </dgm:t>
    </dgm:pt>
    <dgm:pt modelId="{59DB4454-BABB-44CE-AC3B-673BB6462C49}" type="pres">
      <dgm:prSet presAssocID="{35741FE5-D3FF-454E-931E-D6DE6E904A41}" presName="center2" presStyleLbl="fgShp" presStyleIdx="1" presStyleCnt="2" custFlipVert="1" custScaleY="97633" custLinFactX="363765" custLinFactY="25000" custLinFactNeighborX="400000" custLinFactNeighborY="100000"/>
      <dgm:spPr/>
      <dgm:t>
        <a:bodyPr/>
        <a:lstStyle/>
        <a:p>
          <a:endParaRPr lang="zh-CN" altLang="en-US"/>
        </a:p>
      </dgm:t>
    </dgm:pt>
  </dgm:ptLst>
  <dgm:cxnLst>
    <dgm:cxn modelId="{06513A9E-866B-439E-8C55-F11E7F0FC117}" srcId="{5EE6660D-C3AC-4800-B7EB-3101A05BD4E0}" destId="{2A742659-61D5-4242-8FF7-E2EBEDE437BB}" srcOrd="2" destOrd="0" parTransId="{5F5733B2-FE99-4952-A4EB-972F88D0D5C9}" sibTransId="{293AC45C-44AB-46FC-A2C7-DCCECDCB503D}"/>
    <dgm:cxn modelId="{38328036-71A4-4F38-8A2E-48D218BFAEC4}" type="presOf" srcId="{D9A5FA40-5A79-48B0-9539-6F40E877BD89}" destId="{BDEB9F0B-22E8-49EB-9F6B-242B0ECAF6D5}" srcOrd="0" destOrd="0" presId="urn:microsoft.com/office/officeart/2005/8/layout/cycle4#2"/>
    <dgm:cxn modelId="{40059096-6639-443F-AA05-6C7054FFA4F6}" srcId="{262CCD30-176A-49A6-A3C2-11EB61E035B9}" destId="{976E1803-E650-4A1C-A578-3E3D2EFE2E80}" srcOrd="0" destOrd="0" parTransId="{859282F4-7C3F-4FD1-AA06-2B3639C4FC69}" sibTransId="{91A98E31-1E0F-449C-AFF5-764A0E9525AC}"/>
    <dgm:cxn modelId="{272BE4D0-2504-4211-9AD9-53C11DDA69B0}" srcId="{D9A5FA40-5A79-48B0-9539-6F40E877BD89}" destId="{538DEBF6-3961-404E-BF83-7B9010D2499B}" srcOrd="1" destOrd="0" parTransId="{80789738-C34E-4253-863A-343D9115179F}" sibTransId="{D8266EDC-5134-4DAD-869A-D521A5391171}"/>
    <dgm:cxn modelId="{EBAB169E-0AED-4F3E-8900-0E80CE77FB9A}" type="presOf" srcId="{262CCD30-176A-49A6-A3C2-11EB61E035B9}" destId="{67EE7A87-A0BF-48F3-9CE2-25289C58F5C1}" srcOrd="0" destOrd="0" presId="urn:microsoft.com/office/officeart/2005/8/layout/cycle4#2"/>
    <dgm:cxn modelId="{64D374D9-4435-4D1D-A7FC-6C5419AA50BE}" srcId="{35741FE5-D3FF-454E-931E-D6DE6E904A41}" destId="{262CCD30-176A-49A6-A3C2-11EB61E035B9}" srcOrd="3" destOrd="0" parTransId="{1F1E19DB-79E1-4491-8A8E-3E10B805119A}" sibTransId="{2EA6378B-3A51-49D2-99F2-DC2E3E3A8622}"/>
    <dgm:cxn modelId="{E8431818-2A14-4F7C-8BAA-B9A4C7574923}" type="presOf" srcId="{538DEBF6-3961-404E-BF83-7B9010D2499B}" destId="{B4FA3177-E377-4FEC-96A9-B142CD5B1447}" srcOrd="1" destOrd="1" presId="urn:microsoft.com/office/officeart/2005/8/layout/cycle4#2"/>
    <dgm:cxn modelId="{C887A375-35E3-4CAA-8CC6-ADECE634FEE3}" srcId="{5EE6660D-C3AC-4800-B7EB-3101A05BD4E0}" destId="{E1CCD875-5761-45A2-8CC5-6298D0E44CA9}" srcOrd="0" destOrd="0" parTransId="{1EC78178-8AFD-4BA2-B450-7AED143545AD}" sibTransId="{4A0794D0-3448-43D3-B89B-A4A994DA9C3B}"/>
    <dgm:cxn modelId="{5C4B2FC1-38F0-4A80-87ED-B6D338D394F9}" type="presOf" srcId="{8C6E703D-A9F6-4B95-9E67-C47AFAD74732}" destId="{DB5B9BC6-5FA1-453D-AEF5-D8537A9CC958}" srcOrd="1" destOrd="1" presId="urn:microsoft.com/office/officeart/2005/8/layout/cycle4#2"/>
    <dgm:cxn modelId="{971AC273-7F82-4066-B9D1-6E7E2AB24677}" type="presOf" srcId="{5EE6660D-C3AC-4800-B7EB-3101A05BD4E0}" destId="{B13F92F9-143D-40FC-ADD4-BB07D4E5B18E}" srcOrd="0" destOrd="0" presId="urn:microsoft.com/office/officeart/2005/8/layout/cycle4#2"/>
    <dgm:cxn modelId="{A4571FB0-CFB5-48DE-A2BB-9CF447F82B10}" type="presOf" srcId="{5A08DBF2-E16F-45B8-83D4-94E57DA830C9}" destId="{049CC0AD-9DC5-49D0-B80E-E414EBD47501}" srcOrd="1" destOrd="0" presId="urn:microsoft.com/office/officeart/2005/8/layout/cycle4#2"/>
    <dgm:cxn modelId="{F50BD95B-3FC3-42AE-8298-BB58D6BC0FE6}" type="presOf" srcId="{2881FD04-905D-4932-8812-33EB609B8D93}" destId="{C08C9087-CDD7-4DC0-A28D-E5896A1C44DE}" srcOrd="0" destOrd="1" presId="urn:microsoft.com/office/officeart/2005/8/layout/cycle4#2"/>
    <dgm:cxn modelId="{6567C956-D221-421C-B585-0D635CB79E74}" type="presOf" srcId="{E1CCD875-5761-45A2-8CC5-6298D0E44CA9}" destId="{DB5B9BC6-5FA1-453D-AEF5-D8537A9CC958}" srcOrd="1" destOrd="0" presId="urn:microsoft.com/office/officeart/2005/8/layout/cycle4#2"/>
    <dgm:cxn modelId="{27AB83B0-6ABA-431A-8BED-979323ABAE2C}" srcId="{5EE6660D-C3AC-4800-B7EB-3101A05BD4E0}" destId="{8C6E703D-A9F6-4B95-9E67-C47AFAD74732}" srcOrd="1" destOrd="0" parTransId="{DB2D1666-003B-4533-894F-E0F0CC4C3AA1}" sibTransId="{37490CC2-5EA0-43A0-B584-EF37782FB058}"/>
    <dgm:cxn modelId="{0A1606F5-7BF3-4979-9A9A-6563D0C57B77}" type="presOf" srcId="{E1CCD875-5761-45A2-8CC5-6298D0E44CA9}" destId="{3334752F-491D-403C-A82A-157AF02FA806}" srcOrd="0" destOrd="0" presId="urn:microsoft.com/office/officeart/2005/8/layout/cycle4#2"/>
    <dgm:cxn modelId="{F7EFFEE2-6DE7-459B-A500-3EC8015824E2}" type="presOf" srcId="{976E1803-E650-4A1C-A578-3E3D2EFE2E80}" destId="{3E6ED2B8-538D-447C-BE02-872A4A9275BB}" srcOrd="1" destOrd="0" presId="urn:microsoft.com/office/officeart/2005/8/layout/cycle4#2"/>
    <dgm:cxn modelId="{82BAB723-225B-477B-91B5-BF96177F3DC1}" srcId="{35741FE5-D3FF-454E-931E-D6DE6E904A41}" destId="{D9A5FA40-5A79-48B0-9539-6F40E877BD89}" srcOrd="0" destOrd="0" parTransId="{74D296D5-ACB6-4BF5-AC30-35354A93D268}" sibTransId="{55965359-6ECA-42C6-BF52-8D5B32947709}"/>
    <dgm:cxn modelId="{97FC4729-03AB-44B5-BBC2-A4FF32A0E6DC}" type="presOf" srcId="{37259900-A09F-496A-A321-D6D183F82C5B}" destId="{9E582AB0-B177-49C6-AC18-99A55725DFAD}" srcOrd="0" destOrd="0" presId="urn:microsoft.com/office/officeart/2005/8/layout/cycle4#2"/>
    <dgm:cxn modelId="{8D03D0D3-D1CB-4952-A745-36E3FD363C1F}" srcId="{5EE6660D-C3AC-4800-B7EB-3101A05BD4E0}" destId="{821754FC-B970-47D4-A6AB-E87C4A193BB6}" srcOrd="3" destOrd="0" parTransId="{BE6E444D-51CB-41A8-9B42-2E1643B4A9AD}" sibTransId="{CC6E9759-BF8F-4D8A-B63A-8CE0AEA1847B}"/>
    <dgm:cxn modelId="{00D61C3E-FCC4-49A7-A99C-AC85FBA4367D}" type="presOf" srcId="{5A08DBF2-E16F-45B8-83D4-94E57DA830C9}" destId="{EBE82218-6627-489F-B4B3-87D23D34A4C9}" srcOrd="0" destOrd="0" presId="urn:microsoft.com/office/officeart/2005/8/layout/cycle4#2"/>
    <dgm:cxn modelId="{A4B4AAA4-3E40-4563-8909-FFCD944B014E}" type="presOf" srcId="{2A742659-61D5-4242-8FF7-E2EBEDE437BB}" destId="{DB5B9BC6-5FA1-453D-AEF5-D8537A9CC958}" srcOrd="1" destOrd="2" presId="urn:microsoft.com/office/officeart/2005/8/layout/cycle4#2"/>
    <dgm:cxn modelId="{80E38590-F2A2-44E4-B269-DDE022826072}" type="presOf" srcId="{2A742659-61D5-4242-8FF7-E2EBEDE437BB}" destId="{3334752F-491D-403C-A82A-157AF02FA806}" srcOrd="0" destOrd="2" presId="urn:microsoft.com/office/officeart/2005/8/layout/cycle4#2"/>
    <dgm:cxn modelId="{4C3645CC-CD86-4AF4-9BE5-B917D007C0C7}" type="presOf" srcId="{538DEBF6-3961-404E-BF83-7B9010D2499B}" destId="{9E582AB0-B177-49C6-AC18-99A55725DFAD}" srcOrd="0" destOrd="1" presId="urn:microsoft.com/office/officeart/2005/8/layout/cycle4#2"/>
    <dgm:cxn modelId="{6AC6389E-5B08-4B42-95E0-9FA5DAA3875C}" srcId="{D9A5FA40-5A79-48B0-9539-6F40E877BD89}" destId="{B8852A5F-C240-4CF3-882A-03B6D51C9267}" srcOrd="2" destOrd="0" parTransId="{505DC890-2EA1-4C27-AEA8-50E87D8ECE58}" sibTransId="{171C0F60-CFA8-49A3-A6F8-6D52AEC54721}"/>
    <dgm:cxn modelId="{0AA27590-B313-4410-9D74-565F1FA14179}" srcId="{35741FE5-D3FF-454E-931E-D6DE6E904A41}" destId="{5EE6660D-C3AC-4800-B7EB-3101A05BD4E0}" srcOrd="1" destOrd="0" parTransId="{3D08455F-5C52-45A2-AC35-B86192FA0377}" sibTransId="{5B5CFBE2-5537-4D40-8BB7-3E8EC34FD6CF}"/>
    <dgm:cxn modelId="{8E92183C-A02D-44E4-A0E7-39F9A7129C35}" type="presOf" srcId="{821754FC-B970-47D4-A6AB-E87C4A193BB6}" destId="{3334752F-491D-403C-A82A-157AF02FA806}" srcOrd="0" destOrd="3" presId="urn:microsoft.com/office/officeart/2005/8/layout/cycle4#2"/>
    <dgm:cxn modelId="{3E9EE487-6B9A-40F5-B084-DCC2F015F80A}" type="presOf" srcId="{35741FE5-D3FF-454E-931E-D6DE6E904A41}" destId="{FA93F5A9-ED43-4875-864D-A9AF13646B68}" srcOrd="0" destOrd="0" presId="urn:microsoft.com/office/officeart/2005/8/layout/cycle4#2"/>
    <dgm:cxn modelId="{E0EB3BB0-DE7E-4BE2-8E4B-67B1EE11C21E}" srcId="{35741FE5-D3FF-454E-931E-D6DE6E904A41}" destId="{323B9EA7-F7C1-476D-84DB-ABD91AEFED7A}" srcOrd="2" destOrd="0" parTransId="{D741936B-1633-419D-8D29-0CE4D6946FD9}" sibTransId="{CCB1BCEE-D9D2-4101-A9D1-66A3C5BD556F}"/>
    <dgm:cxn modelId="{992F1632-605F-4927-AEB8-EC914AABD115}" srcId="{262CCD30-176A-49A6-A3C2-11EB61E035B9}" destId="{2881FD04-905D-4932-8812-33EB609B8D93}" srcOrd="1" destOrd="0" parTransId="{9CC364D8-AE10-4FDD-A4D5-598BBBE7FA67}" sibTransId="{65C5074C-8819-465B-98E0-3C7DA0D6416F}"/>
    <dgm:cxn modelId="{4B8C3D27-DD2B-457A-A736-A89869FC9E89}" srcId="{D9A5FA40-5A79-48B0-9539-6F40E877BD89}" destId="{37259900-A09F-496A-A321-D6D183F82C5B}" srcOrd="0" destOrd="0" parTransId="{9374609F-B7F5-4DB6-B58D-68BCE5FB0F11}" sibTransId="{5A324991-9610-4C5C-AF46-69F6240CCCC8}"/>
    <dgm:cxn modelId="{8897E9D5-0D04-427C-A21F-903FA2F6FAD6}" srcId="{323B9EA7-F7C1-476D-84DB-ABD91AEFED7A}" destId="{5A08DBF2-E16F-45B8-83D4-94E57DA830C9}" srcOrd="0" destOrd="0" parTransId="{F94FC90A-F0C1-4F2A-AE08-3A6FAB5BD6DF}" sibTransId="{FA6040FE-F23B-4A8C-BA37-086310AD1905}"/>
    <dgm:cxn modelId="{3D41F9CA-70E3-4C6C-9DDD-72FC6AAF192E}" type="presOf" srcId="{B8852A5F-C240-4CF3-882A-03B6D51C9267}" destId="{9E582AB0-B177-49C6-AC18-99A55725DFAD}" srcOrd="0" destOrd="2" presId="urn:microsoft.com/office/officeart/2005/8/layout/cycle4#2"/>
    <dgm:cxn modelId="{A055870C-9EE3-473A-A52D-04FA8D1D1CEE}" type="presOf" srcId="{37259900-A09F-496A-A321-D6D183F82C5B}" destId="{B4FA3177-E377-4FEC-96A9-B142CD5B1447}" srcOrd="1" destOrd="0" presId="urn:microsoft.com/office/officeart/2005/8/layout/cycle4#2"/>
    <dgm:cxn modelId="{4F84E662-4E8D-4DCC-A551-E40BF7E108E0}" type="presOf" srcId="{2881FD04-905D-4932-8812-33EB609B8D93}" destId="{3E6ED2B8-538D-447C-BE02-872A4A9275BB}" srcOrd="1" destOrd="1" presId="urn:microsoft.com/office/officeart/2005/8/layout/cycle4#2"/>
    <dgm:cxn modelId="{9637A6FD-837C-44D0-9E0C-1AE7CA4D501A}" type="presOf" srcId="{F8551221-9697-45B9-9D15-767D0729B3DB}" destId="{3E6ED2B8-538D-447C-BE02-872A4A9275BB}" srcOrd="1" destOrd="2" presId="urn:microsoft.com/office/officeart/2005/8/layout/cycle4#2"/>
    <dgm:cxn modelId="{CC290FF4-F23E-4558-9D87-B92E8B317589}" srcId="{262CCD30-176A-49A6-A3C2-11EB61E035B9}" destId="{F8551221-9697-45B9-9D15-767D0729B3DB}" srcOrd="2" destOrd="0" parTransId="{9F44A624-C2D6-4ADD-B57C-E7FAE3A040EA}" sibTransId="{2457C5E6-2301-4FF3-AF56-958DC9E210F6}"/>
    <dgm:cxn modelId="{CA30802D-1FA9-490B-9F69-0CF9764CD5A9}" type="presOf" srcId="{B8852A5F-C240-4CF3-882A-03B6D51C9267}" destId="{B4FA3177-E377-4FEC-96A9-B142CD5B1447}" srcOrd="1" destOrd="2" presId="urn:microsoft.com/office/officeart/2005/8/layout/cycle4#2"/>
    <dgm:cxn modelId="{FB6949A1-90C9-4EAD-9687-78DB351858D6}" type="presOf" srcId="{323B9EA7-F7C1-476D-84DB-ABD91AEFED7A}" destId="{E588DB8B-90D7-424D-9544-7EF44A7A88BC}" srcOrd="0" destOrd="0" presId="urn:microsoft.com/office/officeart/2005/8/layout/cycle4#2"/>
    <dgm:cxn modelId="{FD55F2AB-A53C-4575-AEB2-9B2F47C9F4BC}" type="presOf" srcId="{976E1803-E650-4A1C-A578-3E3D2EFE2E80}" destId="{C08C9087-CDD7-4DC0-A28D-E5896A1C44DE}" srcOrd="0" destOrd="0" presId="urn:microsoft.com/office/officeart/2005/8/layout/cycle4#2"/>
    <dgm:cxn modelId="{80A51758-D977-486D-8D92-07D30B55C316}" type="presOf" srcId="{F8551221-9697-45B9-9D15-767D0729B3DB}" destId="{C08C9087-CDD7-4DC0-A28D-E5896A1C44DE}" srcOrd="0" destOrd="2" presId="urn:microsoft.com/office/officeart/2005/8/layout/cycle4#2"/>
    <dgm:cxn modelId="{AC5CDF70-CEF8-41E1-9CA4-7D6EC7F1110B}" type="presOf" srcId="{821754FC-B970-47D4-A6AB-E87C4A193BB6}" destId="{DB5B9BC6-5FA1-453D-AEF5-D8537A9CC958}" srcOrd="1" destOrd="3" presId="urn:microsoft.com/office/officeart/2005/8/layout/cycle4#2"/>
    <dgm:cxn modelId="{44A0FB2A-C515-425A-8FF9-46F010AAF414}" type="presOf" srcId="{8C6E703D-A9F6-4B95-9E67-C47AFAD74732}" destId="{3334752F-491D-403C-A82A-157AF02FA806}" srcOrd="0" destOrd="1" presId="urn:microsoft.com/office/officeart/2005/8/layout/cycle4#2"/>
    <dgm:cxn modelId="{536C513C-5B18-400E-B113-A00DA11C254A}" type="presParOf" srcId="{FA93F5A9-ED43-4875-864D-A9AF13646B68}" destId="{560A8DBE-418B-490A-A364-E873A2812005}" srcOrd="0" destOrd="0" presId="urn:microsoft.com/office/officeart/2005/8/layout/cycle4#2"/>
    <dgm:cxn modelId="{D32FA4A7-6C5A-47A3-BFA0-ADECA839BC7E}" type="presParOf" srcId="{560A8DBE-418B-490A-A364-E873A2812005}" destId="{DEDD8639-84DB-451E-B9E7-8827000CD67A}" srcOrd="0" destOrd="0" presId="urn:microsoft.com/office/officeart/2005/8/layout/cycle4#2"/>
    <dgm:cxn modelId="{8BD9C8F4-B630-4B76-AEA0-75F92118B23A}" type="presParOf" srcId="{DEDD8639-84DB-451E-B9E7-8827000CD67A}" destId="{9E582AB0-B177-49C6-AC18-99A55725DFAD}" srcOrd="0" destOrd="0" presId="urn:microsoft.com/office/officeart/2005/8/layout/cycle4#2"/>
    <dgm:cxn modelId="{D13CE5E4-374D-4AFF-A5CA-FF36424FEF0C}" type="presParOf" srcId="{DEDD8639-84DB-451E-B9E7-8827000CD67A}" destId="{B4FA3177-E377-4FEC-96A9-B142CD5B1447}" srcOrd="1" destOrd="0" presId="urn:microsoft.com/office/officeart/2005/8/layout/cycle4#2"/>
    <dgm:cxn modelId="{EC428F84-8AF0-4D33-A37F-31B78846005E}" type="presParOf" srcId="{560A8DBE-418B-490A-A364-E873A2812005}" destId="{003E07D5-5DDE-4174-8EAD-219FA262D149}" srcOrd="1" destOrd="0" presId="urn:microsoft.com/office/officeart/2005/8/layout/cycle4#2"/>
    <dgm:cxn modelId="{BD81411D-8FC5-4A63-AA14-F44FBE247066}" type="presParOf" srcId="{003E07D5-5DDE-4174-8EAD-219FA262D149}" destId="{3334752F-491D-403C-A82A-157AF02FA806}" srcOrd="0" destOrd="0" presId="urn:microsoft.com/office/officeart/2005/8/layout/cycle4#2"/>
    <dgm:cxn modelId="{B4962E69-76AB-4AF6-A85E-1E1DE0590B60}" type="presParOf" srcId="{003E07D5-5DDE-4174-8EAD-219FA262D149}" destId="{DB5B9BC6-5FA1-453D-AEF5-D8537A9CC958}" srcOrd="1" destOrd="0" presId="urn:microsoft.com/office/officeart/2005/8/layout/cycle4#2"/>
    <dgm:cxn modelId="{3973A20E-FFC3-44A9-A46F-0FAA6A8ED38C}" type="presParOf" srcId="{560A8DBE-418B-490A-A364-E873A2812005}" destId="{3B136029-D016-4C67-8014-4BAE75EDC01A}" srcOrd="2" destOrd="0" presId="urn:microsoft.com/office/officeart/2005/8/layout/cycle4#2"/>
    <dgm:cxn modelId="{AF4CFBA1-15C2-43B9-8E6C-6DFED3648A95}" type="presParOf" srcId="{3B136029-D016-4C67-8014-4BAE75EDC01A}" destId="{EBE82218-6627-489F-B4B3-87D23D34A4C9}" srcOrd="0" destOrd="0" presId="urn:microsoft.com/office/officeart/2005/8/layout/cycle4#2"/>
    <dgm:cxn modelId="{F2C99967-AAA6-4FEE-875A-3AC45D0AEB5F}" type="presParOf" srcId="{3B136029-D016-4C67-8014-4BAE75EDC01A}" destId="{049CC0AD-9DC5-49D0-B80E-E414EBD47501}" srcOrd="1" destOrd="0" presId="urn:microsoft.com/office/officeart/2005/8/layout/cycle4#2"/>
    <dgm:cxn modelId="{901C2CE1-6A93-4F2D-B49F-028D56FAA65E}" type="presParOf" srcId="{560A8DBE-418B-490A-A364-E873A2812005}" destId="{80F14F5E-E4AF-46B9-AEE4-3949AB0A5CF7}" srcOrd="3" destOrd="0" presId="urn:microsoft.com/office/officeart/2005/8/layout/cycle4#2"/>
    <dgm:cxn modelId="{0F1079AF-33E7-45AB-8436-EB3B5CF7E1B8}" type="presParOf" srcId="{80F14F5E-E4AF-46B9-AEE4-3949AB0A5CF7}" destId="{C08C9087-CDD7-4DC0-A28D-E5896A1C44DE}" srcOrd="0" destOrd="0" presId="urn:microsoft.com/office/officeart/2005/8/layout/cycle4#2"/>
    <dgm:cxn modelId="{F57EA845-7ED2-4EEB-9595-FFE180F3DBE4}" type="presParOf" srcId="{80F14F5E-E4AF-46B9-AEE4-3949AB0A5CF7}" destId="{3E6ED2B8-538D-447C-BE02-872A4A9275BB}" srcOrd="1" destOrd="0" presId="urn:microsoft.com/office/officeart/2005/8/layout/cycle4#2"/>
    <dgm:cxn modelId="{CF95817E-05A0-4404-9A9A-D27023BCE897}" type="presParOf" srcId="{560A8DBE-418B-490A-A364-E873A2812005}" destId="{12BC8390-E140-45B6-8074-881CEEB360C8}" srcOrd="4" destOrd="0" presId="urn:microsoft.com/office/officeart/2005/8/layout/cycle4#2"/>
    <dgm:cxn modelId="{7C11A79D-4B14-483E-8EDD-07B17D9E4F73}" type="presParOf" srcId="{FA93F5A9-ED43-4875-864D-A9AF13646B68}" destId="{E6526951-AC4A-48CF-88A9-01808082A6A4}" srcOrd="1" destOrd="0" presId="urn:microsoft.com/office/officeart/2005/8/layout/cycle4#2"/>
    <dgm:cxn modelId="{6F112984-B4FF-44DD-8AAD-6C0E00BA5A5C}" type="presParOf" srcId="{E6526951-AC4A-48CF-88A9-01808082A6A4}" destId="{BDEB9F0B-22E8-49EB-9F6B-242B0ECAF6D5}" srcOrd="0" destOrd="0" presId="urn:microsoft.com/office/officeart/2005/8/layout/cycle4#2"/>
    <dgm:cxn modelId="{7B4259CB-CEB2-402A-AC5E-83FC6EF5158D}" type="presParOf" srcId="{E6526951-AC4A-48CF-88A9-01808082A6A4}" destId="{B13F92F9-143D-40FC-ADD4-BB07D4E5B18E}" srcOrd="1" destOrd="0" presId="urn:microsoft.com/office/officeart/2005/8/layout/cycle4#2"/>
    <dgm:cxn modelId="{384C6132-A2B4-4B83-B621-64B4C17335BD}" type="presParOf" srcId="{E6526951-AC4A-48CF-88A9-01808082A6A4}" destId="{E588DB8B-90D7-424D-9544-7EF44A7A88BC}" srcOrd="2" destOrd="0" presId="urn:microsoft.com/office/officeart/2005/8/layout/cycle4#2"/>
    <dgm:cxn modelId="{B9842EE3-9AB2-43A4-8981-9C2D4405DE47}" type="presParOf" srcId="{E6526951-AC4A-48CF-88A9-01808082A6A4}" destId="{67EE7A87-A0BF-48F3-9CE2-25289C58F5C1}" srcOrd="3" destOrd="0" presId="urn:microsoft.com/office/officeart/2005/8/layout/cycle4#2"/>
    <dgm:cxn modelId="{FB3B3BE8-93B7-450F-AAAE-E5CA94D6AA0F}" type="presParOf" srcId="{E6526951-AC4A-48CF-88A9-01808082A6A4}" destId="{C5EFB48D-805C-43EE-9C56-B5F88E7481F9}" srcOrd="4" destOrd="0" presId="urn:microsoft.com/office/officeart/2005/8/layout/cycle4#2"/>
    <dgm:cxn modelId="{5A74D286-FF64-4FB0-A3BB-4E5CC9440499}" type="presParOf" srcId="{FA93F5A9-ED43-4875-864D-A9AF13646B68}" destId="{FF56EFBB-8E2D-4770-99CD-CD3412322A03}" srcOrd="2" destOrd="0" presId="urn:microsoft.com/office/officeart/2005/8/layout/cycle4#2"/>
    <dgm:cxn modelId="{0C8C2844-7118-4E41-A05D-E97C7C6D8EC7}" type="presParOf" srcId="{FA93F5A9-ED43-4875-864D-A9AF13646B68}" destId="{59DB4454-BABB-44CE-AC3B-673BB6462C49}" srcOrd="3" destOrd="0" presId="urn:microsoft.com/office/officeart/2005/8/layout/cycle4#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E82218-6627-489F-B4B3-87D23D34A4C9}">
      <dsp:nvSpPr>
        <dsp:cNvPr id="0" name=""/>
        <dsp:cNvSpPr/>
      </dsp:nvSpPr>
      <dsp:spPr>
        <a:xfrm>
          <a:off x="2717475" y="1152699"/>
          <a:ext cx="2635574" cy="12471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zh-CN" altLang="en-US" sz="1200" kern="1200"/>
            <a:t>    美术设计与制作</a:t>
          </a:r>
          <a:endParaRPr lang="zh-CN" altLang="en-US" sz="1600" kern="1200"/>
        </a:p>
      </dsp:txBody>
      <dsp:txXfrm>
        <a:off x="3535544" y="1491894"/>
        <a:ext cx="1790108" cy="880600"/>
      </dsp:txXfrm>
    </dsp:sp>
    <dsp:sp modelId="{C08C9087-CDD7-4DC0-A28D-E5896A1C44DE}">
      <dsp:nvSpPr>
        <dsp:cNvPr id="0" name=""/>
        <dsp:cNvSpPr/>
      </dsp:nvSpPr>
      <dsp:spPr>
        <a:xfrm>
          <a:off x="0" y="1171342"/>
          <a:ext cx="2616665" cy="12099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100000"/>
            </a:lnSpc>
            <a:spcBef>
              <a:spcPct val="0"/>
            </a:spcBef>
            <a:spcAft>
              <a:spcPts val="0"/>
            </a:spcAft>
            <a:buChar char="••"/>
          </a:pPr>
          <a:r>
            <a:rPr lang="zh-CN" altLang="en-US" sz="1200" kern="1200"/>
            <a:t>计算机应用</a:t>
          </a:r>
        </a:p>
        <a:p>
          <a:pPr marL="114300" lvl="1" indent="-114300" algn="l" defTabSz="533400">
            <a:lnSpc>
              <a:spcPct val="100000"/>
            </a:lnSpc>
            <a:spcBef>
              <a:spcPct val="0"/>
            </a:spcBef>
            <a:spcAft>
              <a:spcPts val="0"/>
            </a:spcAft>
            <a:buChar char="••"/>
          </a:pPr>
          <a:r>
            <a:rPr lang="zh-CN" altLang="en-US" sz="1200" kern="1200"/>
            <a:t>计算机网络技术专业</a:t>
          </a:r>
        </a:p>
        <a:p>
          <a:pPr marL="114300" lvl="1" indent="-114300" algn="l" defTabSz="533400">
            <a:lnSpc>
              <a:spcPct val="100000"/>
            </a:lnSpc>
            <a:spcBef>
              <a:spcPct val="0"/>
            </a:spcBef>
            <a:spcAft>
              <a:spcPts val="0"/>
            </a:spcAft>
            <a:buChar char="••"/>
          </a:pPr>
          <a:r>
            <a:rPr lang="zh-CN" altLang="en-US" sz="1200" kern="1200"/>
            <a:t>计算机与数码产品维修</a:t>
          </a:r>
        </a:p>
      </dsp:txBody>
      <dsp:txXfrm>
        <a:off x="26578" y="1500397"/>
        <a:ext cx="1778510" cy="854273"/>
      </dsp:txXfrm>
    </dsp:sp>
    <dsp:sp modelId="{3334752F-491D-403C-A82A-157AF02FA806}">
      <dsp:nvSpPr>
        <dsp:cNvPr id="0" name=""/>
        <dsp:cNvSpPr/>
      </dsp:nvSpPr>
      <dsp:spPr>
        <a:xfrm>
          <a:off x="2693170" y="-18642"/>
          <a:ext cx="2659879" cy="10980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zh-CN" altLang="en-US" sz="1200" kern="1200"/>
            <a:t>   会计</a:t>
          </a:r>
        </a:p>
        <a:p>
          <a:pPr marL="114300" lvl="1" indent="-114300" algn="l" defTabSz="533400">
            <a:lnSpc>
              <a:spcPct val="90000"/>
            </a:lnSpc>
            <a:spcBef>
              <a:spcPct val="0"/>
            </a:spcBef>
            <a:spcAft>
              <a:spcPct val="15000"/>
            </a:spcAft>
            <a:buChar char="••"/>
          </a:pPr>
          <a:r>
            <a:rPr lang="zh-CN" altLang="en-US" sz="1200" kern="1200"/>
            <a:t>    电子商务</a:t>
          </a:r>
        </a:p>
        <a:p>
          <a:pPr marL="114300" lvl="1" indent="-114300" algn="l" defTabSz="533400">
            <a:lnSpc>
              <a:spcPct val="90000"/>
            </a:lnSpc>
            <a:spcBef>
              <a:spcPct val="0"/>
            </a:spcBef>
            <a:spcAft>
              <a:spcPct val="15000"/>
            </a:spcAft>
            <a:buChar char="••"/>
          </a:pPr>
          <a:r>
            <a:rPr lang="zh-CN" altLang="en-US" sz="1200" kern="1200"/>
            <a:t>   市场营销</a:t>
          </a:r>
        </a:p>
        <a:p>
          <a:pPr marL="114300" lvl="1" indent="-114300" algn="l" defTabSz="533400">
            <a:lnSpc>
              <a:spcPct val="90000"/>
            </a:lnSpc>
            <a:spcBef>
              <a:spcPct val="0"/>
            </a:spcBef>
            <a:spcAft>
              <a:spcPct val="15000"/>
            </a:spcAft>
            <a:buChar char="••"/>
          </a:pPr>
          <a:r>
            <a:rPr lang="zh-CN" altLang="en-US" sz="1200" kern="1200"/>
            <a:t>    物流服务与管理专业</a:t>
          </a:r>
        </a:p>
      </dsp:txBody>
      <dsp:txXfrm>
        <a:off x="3515255" y="5479"/>
        <a:ext cx="1813673" cy="775300"/>
      </dsp:txXfrm>
    </dsp:sp>
    <dsp:sp modelId="{9E582AB0-B177-49C6-AC18-99A55725DFAD}">
      <dsp:nvSpPr>
        <dsp:cNvPr id="0" name=""/>
        <dsp:cNvSpPr/>
      </dsp:nvSpPr>
      <dsp:spPr>
        <a:xfrm>
          <a:off x="0" y="-41181"/>
          <a:ext cx="2355682" cy="10980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endParaRPr lang="zh-CN" altLang="en-US" sz="1200" kern="1200"/>
        </a:p>
        <a:p>
          <a:pPr marL="114300" lvl="1" indent="-114300" algn="l" defTabSz="533400">
            <a:lnSpc>
              <a:spcPct val="90000"/>
            </a:lnSpc>
            <a:spcBef>
              <a:spcPct val="0"/>
            </a:spcBef>
            <a:spcAft>
              <a:spcPct val="15000"/>
            </a:spcAft>
            <a:buChar char="••"/>
          </a:pPr>
          <a:endParaRPr lang="zh-CN" altLang="en-US" sz="1200" kern="1200"/>
        </a:p>
        <a:p>
          <a:pPr marL="114300" lvl="1" indent="-114300" algn="l" defTabSz="533400">
            <a:lnSpc>
              <a:spcPct val="90000"/>
            </a:lnSpc>
            <a:spcBef>
              <a:spcPct val="0"/>
            </a:spcBef>
            <a:spcAft>
              <a:spcPct val="15000"/>
            </a:spcAft>
            <a:buChar char="••"/>
          </a:pPr>
          <a:r>
            <a:rPr lang="zh-CN" altLang="en-US" sz="1200" kern="1200"/>
            <a:t>学前教育</a:t>
          </a:r>
        </a:p>
      </dsp:txBody>
      <dsp:txXfrm>
        <a:off x="24121" y="-17060"/>
        <a:ext cx="1600735" cy="775300"/>
      </dsp:txXfrm>
    </dsp:sp>
    <dsp:sp modelId="{BDEB9F0B-22E8-49EB-9F6B-242B0ECAF6D5}">
      <dsp:nvSpPr>
        <dsp:cNvPr id="0" name=""/>
        <dsp:cNvSpPr/>
      </dsp:nvSpPr>
      <dsp:spPr>
        <a:xfrm>
          <a:off x="1552426" y="-2"/>
          <a:ext cx="1014937" cy="101493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zh-CN" altLang="en-US" sz="1300" kern="1200"/>
            <a:t>教育类</a:t>
          </a:r>
        </a:p>
      </dsp:txBody>
      <dsp:txXfrm>
        <a:off x="1849694" y="297266"/>
        <a:ext cx="717669" cy="717669"/>
      </dsp:txXfrm>
    </dsp:sp>
    <dsp:sp modelId="{B13F92F9-143D-40FC-ADD4-BB07D4E5B18E}">
      <dsp:nvSpPr>
        <dsp:cNvPr id="0" name=""/>
        <dsp:cNvSpPr/>
      </dsp:nvSpPr>
      <dsp:spPr>
        <a:xfrm rot="5400000">
          <a:off x="2595192" y="-2"/>
          <a:ext cx="1014937" cy="101493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zh-CN" sz="1300" kern="1200"/>
            <a:t>财经商贸类</a:t>
          </a:r>
          <a:endParaRPr lang="zh-CN" altLang="en-US" sz="1300" kern="1200"/>
        </a:p>
      </dsp:txBody>
      <dsp:txXfrm rot="-5400000">
        <a:off x="2595192" y="297266"/>
        <a:ext cx="717669" cy="717669"/>
      </dsp:txXfrm>
    </dsp:sp>
    <dsp:sp modelId="{E588DB8B-90D7-424D-9544-7EF44A7A88BC}">
      <dsp:nvSpPr>
        <dsp:cNvPr id="0" name=""/>
        <dsp:cNvSpPr/>
      </dsp:nvSpPr>
      <dsp:spPr>
        <a:xfrm rot="10800000">
          <a:off x="2614243" y="1045950"/>
          <a:ext cx="1014937" cy="101493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l" defTabSz="577850">
            <a:lnSpc>
              <a:spcPct val="90000"/>
            </a:lnSpc>
            <a:spcBef>
              <a:spcPct val="0"/>
            </a:spcBef>
            <a:spcAft>
              <a:spcPct val="35000"/>
            </a:spcAft>
          </a:pPr>
          <a:r>
            <a:rPr lang="zh-CN" sz="1300" kern="1200"/>
            <a:t>文化艺术类</a:t>
          </a:r>
          <a:endParaRPr lang="zh-CN" altLang="en-US" sz="1300" kern="1200"/>
        </a:p>
      </dsp:txBody>
      <dsp:txXfrm rot="10800000">
        <a:off x="2614243" y="1045950"/>
        <a:ext cx="717669" cy="717669"/>
      </dsp:txXfrm>
    </dsp:sp>
    <dsp:sp modelId="{67EE7A87-A0BF-48F3-9CE2-25289C58F5C1}">
      <dsp:nvSpPr>
        <dsp:cNvPr id="0" name=""/>
        <dsp:cNvSpPr/>
      </dsp:nvSpPr>
      <dsp:spPr>
        <a:xfrm rot="16200000">
          <a:off x="1538460" y="1047046"/>
          <a:ext cx="1014937" cy="101493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zh-CN" sz="1300" kern="1200"/>
            <a:t>信息技术类</a:t>
          </a:r>
          <a:endParaRPr lang="zh-CN" altLang="en-US" sz="1300" kern="1200"/>
        </a:p>
      </dsp:txBody>
      <dsp:txXfrm rot="5400000">
        <a:off x="1835728" y="1047046"/>
        <a:ext cx="717669" cy="717669"/>
      </dsp:txXfrm>
    </dsp:sp>
    <dsp:sp modelId="{FF56EFBB-8E2D-4770-99CD-CD3412322A03}">
      <dsp:nvSpPr>
        <dsp:cNvPr id="0" name=""/>
        <dsp:cNvSpPr/>
      </dsp:nvSpPr>
      <dsp:spPr>
        <a:xfrm flipV="1">
          <a:off x="5177838" y="1878036"/>
          <a:ext cx="350422" cy="180306"/>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DB4454-BABB-44CE-AC3B-673BB6462C49}">
      <dsp:nvSpPr>
        <dsp:cNvPr id="0" name=""/>
        <dsp:cNvSpPr/>
      </dsp:nvSpPr>
      <dsp:spPr>
        <a:xfrm rot="10800000" flipV="1">
          <a:off x="5177721" y="1481367"/>
          <a:ext cx="350422" cy="29750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2">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vertAlign" val="none"/>
                  <dgm:param type="horz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vertAlign" val="none"/>
                  <dgm:param type="horz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vertAlign" val="none"/>
                  <dgm:param type="horz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34</Pages>
  <Words>2708</Words>
  <Characters>15442</Characters>
  <Application>Microsoft Office Word</Application>
  <DocSecurity>8</DocSecurity>
  <Lines>128</Lines>
  <Paragraphs>36</Paragraphs>
  <ScaleCrop>false</ScaleCrop>
  <Company>Microsoft</Company>
  <LinksUpToDate>false</LinksUpToDate>
  <CharactersWithSpaces>18114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Sky123.Org</cp:lastModifiedBy>
  <cp:revision>157</cp:revision>
  <cp:lastPrinted>2016-12-02T13:38:00Z</cp:lastPrinted>
  <dcterms:created xsi:type="dcterms:W3CDTF">2018-01-18T09:45:00Z</dcterms:created>
  <dcterms:modified xsi:type="dcterms:W3CDTF">2018-01-22T07:02:00Z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2052-8.1.2</vt:lpwstr>
  </property>
</Properties>
</file>